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0D96" w:rsidRDefault="00054CF1">
      <w:pPr>
        <w:pStyle w:val="TOC1"/>
        <w:rPr>
          <w:rFonts w:asciiTheme="minorHAnsi" w:hAnsiTheme="minorHAnsi"/>
          <w:b w:val="0"/>
          <w:bCs w:val="0"/>
          <w:caps w:val="0"/>
          <w:noProof/>
          <w:sz w:val="22"/>
          <w:szCs w:val="22"/>
        </w:rPr>
      </w:pPr>
      <w:r w:rsidRPr="00B248E6">
        <w:rPr>
          <w:rFonts w:ascii="Arial" w:hAnsi="Arial"/>
          <w:sz w:val="22"/>
        </w:rPr>
        <w:fldChar w:fldCharType="begin"/>
      </w:r>
      <w:r w:rsidRPr="00B248E6">
        <w:rPr>
          <w:rFonts w:ascii="Arial" w:hAnsi="Arial"/>
          <w:sz w:val="22"/>
        </w:rPr>
        <w:instrText xml:space="preserve"> TOC \o "1-2" \h \z \u \t "Heading 3,3" </w:instrText>
      </w:r>
      <w:r w:rsidRPr="00B248E6">
        <w:rPr>
          <w:rFonts w:ascii="Arial" w:hAnsi="Arial"/>
          <w:sz w:val="22"/>
        </w:rPr>
        <w:fldChar w:fldCharType="separate"/>
      </w:r>
      <w:hyperlink w:anchor="_Toc403370661" w:history="1">
        <w:r w:rsidR="00BB0D96" w:rsidRPr="00BF0E56">
          <w:rPr>
            <w:rStyle w:val="Hyperlink"/>
            <w:noProof/>
          </w:rPr>
          <w:t>Introduction (2014 Strategic Plan)</w:t>
        </w:r>
        <w:r w:rsidR="00BB0D96">
          <w:rPr>
            <w:noProof/>
            <w:webHidden/>
          </w:rPr>
          <w:tab/>
        </w:r>
        <w:r w:rsidR="00BB0D96">
          <w:rPr>
            <w:noProof/>
            <w:webHidden/>
          </w:rPr>
          <w:fldChar w:fldCharType="begin"/>
        </w:r>
        <w:r w:rsidR="00BB0D96">
          <w:rPr>
            <w:noProof/>
            <w:webHidden/>
          </w:rPr>
          <w:instrText xml:space="preserve"> PAGEREF _Toc403370661 \h </w:instrText>
        </w:r>
        <w:r w:rsidR="00BB0D96">
          <w:rPr>
            <w:noProof/>
            <w:webHidden/>
          </w:rPr>
        </w:r>
        <w:r w:rsidR="00BB0D96">
          <w:rPr>
            <w:noProof/>
            <w:webHidden/>
          </w:rPr>
          <w:fldChar w:fldCharType="separate"/>
        </w:r>
        <w:r w:rsidR="0023663B">
          <w:rPr>
            <w:noProof/>
            <w:webHidden/>
          </w:rPr>
          <w:t>3</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62" w:history="1">
        <w:r w:rsidR="00BB0D96" w:rsidRPr="00BF0E56">
          <w:rPr>
            <w:rStyle w:val="Hyperlink"/>
            <w:noProof/>
          </w:rPr>
          <w:t>The Big Picture</w:t>
        </w:r>
        <w:r w:rsidR="00BB0D96">
          <w:rPr>
            <w:noProof/>
            <w:webHidden/>
          </w:rPr>
          <w:tab/>
        </w:r>
        <w:r w:rsidR="00BB0D96">
          <w:rPr>
            <w:noProof/>
            <w:webHidden/>
          </w:rPr>
          <w:fldChar w:fldCharType="begin"/>
        </w:r>
        <w:r w:rsidR="00BB0D96">
          <w:rPr>
            <w:noProof/>
            <w:webHidden/>
          </w:rPr>
          <w:instrText xml:space="preserve"> PAGEREF _Toc403370662 \h </w:instrText>
        </w:r>
        <w:r w:rsidR="00BB0D96">
          <w:rPr>
            <w:noProof/>
            <w:webHidden/>
          </w:rPr>
        </w:r>
        <w:r w:rsidR="00BB0D96">
          <w:rPr>
            <w:noProof/>
            <w:webHidden/>
          </w:rPr>
          <w:fldChar w:fldCharType="separate"/>
        </w:r>
        <w:r w:rsidR="0023663B">
          <w:rPr>
            <w:noProof/>
            <w:webHidden/>
          </w:rPr>
          <w:t>3</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63" w:history="1">
        <w:r w:rsidR="00BB0D96" w:rsidRPr="00BF0E56">
          <w:rPr>
            <w:rStyle w:val="Hyperlink"/>
            <w:noProof/>
          </w:rPr>
          <w:t>Affordable Care Act (ACA) Update</w:t>
        </w:r>
        <w:r w:rsidR="00BB0D96">
          <w:rPr>
            <w:noProof/>
            <w:webHidden/>
          </w:rPr>
          <w:tab/>
        </w:r>
        <w:r w:rsidR="00BB0D96">
          <w:rPr>
            <w:noProof/>
            <w:webHidden/>
          </w:rPr>
          <w:fldChar w:fldCharType="begin"/>
        </w:r>
        <w:r w:rsidR="00BB0D96">
          <w:rPr>
            <w:noProof/>
            <w:webHidden/>
          </w:rPr>
          <w:instrText xml:space="preserve"> PAGEREF _Toc403370663 \h </w:instrText>
        </w:r>
        <w:r w:rsidR="00BB0D96">
          <w:rPr>
            <w:noProof/>
            <w:webHidden/>
          </w:rPr>
        </w:r>
        <w:r w:rsidR="00BB0D96">
          <w:rPr>
            <w:noProof/>
            <w:webHidden/>
          </w:rPr>
          <w:fldChar w:fldCharType="separate"/>
        </w:r>
        <w:r w:rsidR="0023663B">
          <w:rPr>
            <w:noProof/>
            <w:webHidden/>
          </w:rPr>
          <w:t>4</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64" w:history="1">
        <w:r w:rsidR="00BB0D96" w:rsidRPr="00BF0E56">
          <w:rPr>
            <w:rStyle w:val="Hyperlink"/>
            <w:noProof/>
          </w:rPr>
          <w:t>Olmstead Plan</w:t>
        </w:r>
        <w:r w:rsidR="00BB0D96">
          <w:rPr>
            <w:noProof/>
            <w:webHidden/>
          </w:rPr>
          <w:tab/>
        </w:r>
        <w:r w:rsidR="00BB0D96">
          <w:rPr>
            <w:noProof/>
            <w:webHidden/>
          </w:rPr>
          <w:fldChar w:fldCharType="begin"/>
        </w:r>
        <w:r w:rsidR="00BB0D96">
          <w:rPr>
            <w:noProof/>
            <w:webHidden/>
          </w:rPr>
          <w:instrText xml:space="preserve"> PAGEREF _Toc403370664 \h </w:instrText>
        </w:r>
        <w:r w:rsidR="00BB0D96">
          <w:rPr>
            <w:noProof/>
            <w:webHidden/>
          </w:rPr>
        </w:r>
        <w:r w:rsidR="00BB0D96">
          <w:rPr>
            <w:noProof/>
            <w:webHidden/>
          </w:rPr>
          <w:fldChar w:fldCharType="separate"/>
        </w:r>
        <w:r w:rsidR="0023663B">
          <w:rPr>
            <w:noProof/>
            <w:webHidden/>
          </w:rPr>
          <w:t>6</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65" w:history="1">
        <w:r w:rsidR="00BB0D96" w:rsidRPr="00BF0E56">
          <w:rPr>
            <w:rStyle w:val="Hyperlink"/>
            <w:noProof/>
          </w:rPr>
          <w:t>Money Follows the Person: Expanding Options  for Long-Term Care</w:t>
        </w:r>
        <w:r w:rsidR="00BB0D96">
          <w:rPr>
            <w:noProof/>
            <w:webHidden/>
          </w:rPr>
          <w:tab/>
        </w:r>
        <w:r w:rsidR="00BB0D96">
          <w:rPr>
            <w:noProof/>
            <w:webHidden/>
          </w:rPr>
          <w:fldChar w:fldCharType="begin"/>
        </w:r>
        <w:r w:rsidR="00BB0D96">
          <w:rPr>
            <w:noProof/>
            <w:webHidden/>
          </w:rPr>
          <w:instrText xml:space="preserve"> PAGEREF _Toc403370665 \h </w:instrText>
        </w:r>
        <w:r w:rsidR="00BB0D96">
          <w:rPr>
            <w:noProof/>
            <w:webHidden/>
          </w:rPr>
        </w:r>
        <w:r w:rsidR="00BB0D96">
          <w:rPr>
            <w:noProof/>
            <w:webHidden/>
          </w:rPr>
          <w:fldChar w:fldCharType="separate"/>
        </w:r>
        <w:r w:rsidR="0023663B">
          <w:rPr>
            <w:noProof/>
            <w:webHidden/>
          </w:rPr>
          <w:t>7</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66" w:history="1">
        <w:r w:rsidR="00BB0D96" w:rsidRPr="00BF0E56">
          <w:rPr>
            <w:rStyle w:val="Hyperlink"/>
            <w:rFonts w:eastAsiaTheme="majorEastAsia" w:cstheme="majorBidi"/>
            <w:noProof/>
          </w:rPr>
          <w:t>Montana Medicaid</w:t>
        </w:r>
        <w:r w:rsidR="00BB0D96">
          <w:rPr>
            <w:noProof/>
            <w:webHidden/>
          </w:rPr>
          <w:tab/>
        </w:r>
        <w:r w:rsidR="00BB0D96">
          <w:rPr>
            <w:noProof/>
            <w:webHidden/>
          </w:rPr>
          <w:fldChar w:fldCharType="begin"/>
        </w:r>
        <w:r w:rsidR="00BB0D96">
          <w:rPr>
            <w:noProof/>
            <w:webHidden/>
          </w:rPr>
          <w:instrText xml:space="preserve"> PAGEREF _Toc403370666 \h </w:instrText>
        </w:r>
        <w:r w:rsidR="00BB0D96">
          <w:rPr>
            <w:noProof/>
            <w:webHidden/>
          </w:rPr>
        </w:r>
        <w:r w:rsidR="00BB0D96">
          <w:rPr>
            <w:noProof/>
            <w:webHidden/>
          </w:rPr>
          <w:fldChar w:fldCharType="separate"/>
        </w:r>
        <w:r w:rsidR="0023663B">
          <w:rPr>
            <w:noProof/>
            <w:webHidden/>
          </w:rPr>
          <w:t>10</w:t>
        </w:r>
        <w:r w:rsidR="00BB0D96">
          <w:rPr>
            <w:noProof/>
            <w:webHidden/>
          </w:rPr>
          <w:fldChar w:fldCharType="end"/>
        </w:r>
      </w:hyperlink>
    </w:p>
    <w:p w:rsidR="00BB0D96" w:rsidRDefault="00B655D7">
      <w:pPr>
        <w:pStyle w:val="TOC3"/>
        <w:tabs>
          <w:tab w:val="right" w:leader="dot" w:pos="9350"/>
        </w:tabs>
        <w:rPr>
          <w:noProof/>
          <w:sz w:val="22"/>
          <w:szCs w:val="22"/>
        </w:rPr>
      </w:pPr>
      <w:hyperlink w:anchor="_Toc403370667" w:history="1">
        <w:r w:rsidR="00BB0D96" w:rsidRPr="00BF0E56">
          <w:rPr>
            <w:rStyle w:val="Hyperlink"/>
            <w:noProof/>
          </w:rPr>
          <w:t>Medicaid Income Eligibility Limits for Adults at Application by State</w:t>
        </w:r>
        <w:r w:rsidR="00BB0D96">
          <w:rPr>
            <w:noProof/>
            <w:webHidden/>
          </w:rPr>
          <w:tab/>
        </w:r>
        <w:r w:rsidR="00BB0D96">
          <w:rPr>
            <w:noProof/>
            <w:webHidden/>
          </w:rPr>
          <w:fldChar w:fldCharType="begin"/>
        </w:r>
        <w:r w:rsidR="00BB0D96">
          <w:rPr>
            <w:noProof/>
            <w:webHidden/>
          </w:rPr>
          <w:instrText xml:space="preserve"> PAGEREF _Toc403370667 \h </w:instrText>
        </w:r>
        <w:r w:rsidR="00BB0D96">
          <w:rPr>
            <w:noProof/>
            <w:webHidden/>
          </w:rPr>
        </w:r>
        <w:r w:rsidR="00BB0D96">
          <w:rPr>
            <w:noProof/>
            <w:webHidden/>
          </w:rPr>
          <w:fldChar w:fldCharType="separate"/>
        </w:r>
        <w:r w:rsidR="0023663B">
          <w:rPr>
            <w:noProof/>
            <w:webHidden/>
          </w:rPr>
          <w:t>10</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68" w:history="1">
        <w:r w:rsidR="00BB0D96" w:rsidRPr="00BF0E56">
          <w:rPr>
            <w:rStyle w:val="Hyperlink"/>
            <w:noProof/>
          </w:rPr>
          <w:t>Montana’s Economy</w:t>
        </w:r>
        <w:r w:rsidR="00BB0D96">
          <w:rPr>
            <w:noProof/>
            <w:webHidden/>
          </w:rPr>
          <w:tab/>
        </w:r>
        <w:r w:rsidR="00BB0D96">
          <w:rPr>
            <w:noProof/>
            <w:webHidden/>
          </w:rPr>
          <w:fldChar w:fldCharType="begin"/>
        </w:r>
        <w:r w:rsidR="00BB0D96">
          <w:rPr>
            <w:noProof/>
            <w:webHidden/>
          </w:rPr>
          <w:instrText xml:space="preserve"> PAGEREF _Toc403370668 \h </w:instrText>
        </w:r>
        <w:r w:rsidR="00BB0D96">
          <w:rPr>
            <w:noProof/>
            <w:webHidden/>
          </w:rPr>
        </w:r>
        <w:r w:rsidR="00BB0D96">
          <w:rPr>
            <w:noProof/>
            <w:webHidden/>
          </w:rPr>
          <w:fldChar w:fldCharType="separate"/>
        </w:r>
        <w:r w:rsidR="0023663B">
          <w:rPr>
            <w:noProof/>
            <w:webHidden/>
          </w:rPr>
          <w:t>12</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69" w:history="1">
        <w:r w:rsidR="00BB0D96" w:rsidRPr="00BF0E56">
          <w:rPr>
            <w:rStyle w:val="Hyperlink"/>
            <w:noProof/>
          </w:rPr>
          <w:t>U. S. and Montana Poverty 2000 and 2012</w:t>
        </w:r>
        <w:r w:rsidR="00BB0D96">
          <w:rPr>
            <w:noProof/>
            <w:webHidden/>
          </w:rPr>
          <w:tab/>
        </w:r>
        <w:r w:rsidR="00BB0D96">
          <w:rPr>
            <w:noProof/>
            <w:webHidden/>
          </w:rPr>
          <w:fldChar w:fldCharType="begin"/>
        </w:r>
        <w:r w:rsidR="00BB0D96">
          <w:rPr>
            <w:noProof/>
            <w:webHidden/>
          </w:rPr>
          <w:instrText xml:space="preserve"> PAGEREF _Toc403370669 \h </w:instrText>
        </w:r>
        <w:r w:rsidR="00BB0D96">
          <w:rPr>
            <w:noProof/>
            <w:webHidden/>
          </w:rPr>
        </w:r>
        <w:r w:rsidR="00BB0D96">
          <w:rPr>
            <w:noProof/>
            <w:webHidden/>
          </w:rPr>
          <w:fldChar w:fldCharType="separate"/>
        </w:r>
        <w:r w:rsidR="0023663B">
          <w:rPr>
            <w:noProof/>
            <w:webHidden/>
          </w:rPr>
          <w:t>12</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70" w:history="1">
        <w:r w:rsidR="00BB0D96" w:rsidRPr="00BF0E56">
          <w:rPr>
            <w:rStyle w:val="Hyperlink"/>
            <w:noProof/>
          </w:rPr>
          <w:t>Poverty among American Indians and Alaska Natives</w:t>
        </w:r>
        <w:r w:rsidR="00BB0D96">
          <w:rPr>
            <w:noProof/>
            <w:webHidden/>
          </w:rPr>
          <w:tab/>
        </w:r>
        <w:r w:rsidR="00BB0D96">
          <w:rPr>
            <w:noProof/>
            <w:webHidden/>
          </w:rPr>
          <w:fldChar w:fldCharType="begin"/>
        </w:r>
        <w:r w:rsidR="00BB0D96">
          <w:rPr>
            <w:noProof/>
            <w:webHidden/>
          </w:rPr>
          <w:instrText xml:space="preserve"> PAGEREF _Toc403370670 \h </w:instrText>
        </w:r>
        <w:r w:rsidR="00BB0D96">
          <w:rPr>
            <w:noProof/>
            <w:webHidden/>
          </w:rPr>
        </w:r>
        <w:r w:rsidR="00BB0D96">
          <w:rPr>
            <w:noProof/>
            <w:webHidden/>
          </w:rPr>
          <w:fldChar w:fldCharType="separate"/>
        </w:r>
        <w:r w:rsidR="0023663B">
          <w:rPr>
            <w:noProof/>
            <w:webHidden/>
          </w:rPr>
          <w:t>12</w:t>
        </w:r>
        <w:r w:rsidR="00BB0D96">
          <w:rPr>
            <w:noProof/>
            <w:webHidden/>
          </w:rPr>
          <w:fldChar w:fldCharType="end"/>
        </w:r>
      </w:hyperlink>
    </w:p>
    <w:p w:rsidR="00BB0D96" w:rsidRDefault="00B655D7">
      <w:pPr>
        <w:pStyle w:val="TOC3"/>
        <w:tabs>
          <w:tab w:val="right" w:leader="dot" w:pos="9350"/>
        </w:tabs>
        <w:rPr>
          <w:noProof/>
          <w:sz w:val="22"/>
          <w:szCs w:val="22"/>
        </w:rPr>
      </w:pPr>
      <w:hyperlink w:anchor="_Toc403370671" w:history="1">
        <w:r w:rsidR="00BB0D96" w:rsidRPr="00BF0E56">
          <w:rPr>
            <w:rStyle w:val="Hyperlink"/>
            <w:rFonts w:eastAsiaTheme="majorEastAsia"/>
            <w:noProof/>
          </w:rPr>
          <w:t>U.S. 65 and over Population</w:t>
        </w:r>
        <w:r w:rsidR="00BB0D96">
          <w:rPr>
            <w:noProof/>
            <w:webHidden/>
          </w:rPr>
          <w:tab/>
        </w:r>
        <w:r w:rsidR="00BB0D96">
          <w:rPr>
            <w:noProof/>
            <w:webHidden/>
          </w:rPr>
          <w:fldChar w:fldCharType="begin"/>
        </w:r>
        <w:r w:rsidR="00BB0D96">
          <w:rPr>
            <w:noProof/>
            <w:webHidden/>
          </w:rPr>
          <w:instrText xml:space="preserve"> PAGEREF _Toc403370671 \h </w:instrText>
        </w:r>
        <w:r w:rsidR="00BB0D96">
          <w:rPr>
            <w:noProof/>
            <w:webHidden/>
          </w:rPr>
        </w:r>
        <w:r w:rsidR="00BB0D96">
          <w:rPr>
            <w:noProof/>
            <w:webHidden/>
          </w:rPr>
          <w:fldChar w:fldCharType="separate"/>
        </w:r>
        <w:r w:rsidR="0023663B">
          <w:rPr>
            <w:noProof/>
            <w:webHidden/>
          </w:rPr>
          <w:t>13</w:t>
        </w:r>
        <w:r w:rsidR="00BB0D96">
          <w:rPr>
            <w:noProof/>
            <w:webHidden/>
          </w:rPr>
          <w:fldChar w:fldCharType="end"/>
        </w:r>
      </w:hyperlink>
    </w:p>
    <w:p w:rsidR="00BB0D96" w:rsidRDefault="00B655D7">
      <w:pPr>
        <w:pStyle w:val="TOC3"/>
        <w:tabs>
          <w:tab w:val="right" w:leader="dot" w:pos="9350"/>
        </w:tabs>
        <w:rPr>
          <w:noProof/>
          <w:sz w:val="22"/>
          <w:szCs w:val="22"/>
        </w:rPr>
      </w:pPr>
      <w:hyperlink w:anchor="_Toc403370672" w:history="1">
        <w:r w:rsidR="00BB0D96" w:rsidRPr="00BF0E56">
          <w:rPr>
            <w:rStyle w:val="Hyperlink"/>
            <w:rFonts w:eastAsiaTheme="majorEastAsia"/>
            <w:noProof/>
          </w:rPr>
          <w:t>The State of Aging and Health in America 2013</w:t>
        </w:r>
        <w:r w:rsidR="00BB0D96">
          <w:rPr>
            <w:noProof/>
            <w:webHidden/>
          </w:rPr>
          <w:tab/>
        </w:r>
        <w:r w:rsidR="00BB0D96">
          <w:rPr>
            <w:noProof/>
            <w:webHidden/>
          </w:rPr>
          <w:fldChar w:fldCharType="begin"/>
        </w:r>
        <w:r w:rsidR="00BB0D96">
          <w:rPr>
            <w:noProof/>
            <w:webHidden/>
          </w:rPr>
          <w:instrText xml:space="preserve"> PAGEREF _Toc403370672 \h </w:instrText>
        </w:r>
        <w:r w:rsidR="00BB0D96">
          <w:rPr>
            <w:noProof/>
            <w:webHidden/>
          </w:rPr>
        </w:r>
        <w:r w:rsidR="00BB0D96">
          <w:rPr>
            <w:noProof/>
            <w:webHidden/>
          </w:rPr>
          <w:fldChar w:fldCharType="separate"/>
        </w:r>
        <w:r w:rsidR="0023663B">
          <w:rPr>
            <w:noProof/>
            <w:webHidden/>
          </w:rPr>
          <w:t>14</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73" w:history="1">
        <w:r w:rsidR="00BB0D96" w:rsidRPr="00BF0E56">
          <w:rPr>
            <w:rStyle w:val="Hyperlink"/>
            <w:noProof/>
          </w:rPr>
          <w:t>Access to Long-term Care in Rural Areas</w:t>
        </w:r>
        <w:r w:rsidR="00BB0D96">
          <w:rPr>
            <w:noProof/>
            <w:webHidden/>
          </w:rPr>
          <w:tab/>
        </w:r>
        <w:r w:rsidR="00BB0D96">
          <w:rPr>
            <w:noProof/>
            <w:webHidden/>
          </w:rPr>
          <w:fldChar w:fldCharType="begin"/>
        </w:r>
        <w:r w:rsidR="00BB0D96">
          <w:rPr>
            <w:noProof/>
            <w:webHidden/>
          </w:rPr>
          <w:instrText xml:space="preserve"> PAGEREF _Toc403370673 \h </w:instrText>
        </w:r>
        <w:r w:rsidR="00BB0D96">
          <w:rPr>
            <w:noProof/>
            <w:webHidden/>
          </w:rPr>
        </w:r>
        <w:r w:rsidR="00BB0D96">
          <w:rPr>
            <w:noProof/>
            <w:webHidden/>
          </w:rPr>
          <w:fldChar w:fldCharType="separate"/>
        </w:r>
        <w:r w:rsidR="0023663B">
          <w:rPr>
            <w:noProof/>
            <w:webHidden/>
          </w:rPr>
          <w:t>15</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74" w:history="1">
        <w:r w:rsidR="00BB0D96" w:rsidRPr="00BF0E56">
          <w:rPr>
            <w:rStyle w:val="Hyperlink"/>
            <w:noProof/>
          </w:rPr>
          <w:t>Family Caregivers for People with Disabilities</w:t>
        </w:r>
        <w:r w:rsidR="00BB0D96">
          <w:rPr>
            <w:noProof/>
            <w:webHidden/>
          </w:rPr>
          <w:tab/>
        </w:r>
        <w:r w:rsidR="00BB0D96">
          <w:rPr>
            <w:noProof/>
            <w:webHidden/>
          </w:rPr>
          <w:fldChar w:fldCharType="begin"/>
        </w:r>
        <w:r w:rsidR="00BB0D96">
          <w:rPr>
            <w:noProof/>
            <w:webHidden/>
          </w:rPr>
          <w:instrText xml:space="preserve"> PAGEREF _Toc403370674 \h </w:instrText>
        </w:r>
        <w:r w:rsidR="00BB0D96">
          <w:rPr>
            <w:noProof/>
            <w:webHidden/>
          </w:rPr>
        </w:r>
        <w:r w:rsidR="00BB0D96">
          <w:rPr>
            <w:noProof/>
            <w:webHidden/>
          </w:rPr>
          <w:fldChar w:fldCharType="separate"/>
        </w:r>
        <w:r w:rsidR="0023663B">
          <w:rPr>
            <w:noProof/>
            <w:webHidden/>
          </w:rPr>
          <w:t>15</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75" w:history="1">
        <w:r w:rsidR="00BB0D96" w:rsidRPr="00BF0E56">
          <w:rPr>
            <w:rStyle w:val="Hyperlink"/>
            <w:noProof/>
          </w:rPr>
          <w:t>Social Security Income for People with Disabilities</w:t>
        </w:r>
        <w:r w:rsidR="00BB0D96">
          <w:rPr>
            <w:noProof/>
            <w:webHidden/>
          </w:rPr>
          <w:tab/>
        </w:r>
        <w:r w:rsidR="00BB0D96">
          <w:rPr>
            <w:noProof/>
            <w:webHidden/>
          </w:rPr>
          <w:fldChar w:fldCharType="begin"/>
        </w:r>
        <w:r w:rsidR="00BB0D96">
          <w:rPr>
            <w:noProof/>
            <w:webHidden/>
          </w:rPr>
          <w:instrText xml:space="preserve"> PAGEREF _Toc403370675 \h </w:instrText>
        </w:r>
        <w:r w:rsidR="00BB0D96">
          <w:rPr>
            <w:noProof/>
            <w:webHidden/>
          </w:rPr>
        </w:r>
        <w:r w:rsidR="00BB0D96">
          <w:rPr>
            <w:noProof/>
            <w:webHidden/>
          </w:rPr>
          <w:fldChar w:fldCharType="separate"/>
        </w:r>
        <w:r w:rsidR="0023663B">
          <w:rPr>
            <w:noProof/>
            <w:webHidden/>
          </w:rPr>
          <w:t>19</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76" w:history="1">
        <w:r w:rsidR="00BB0D96" w:rsidRPr="00BF0E56">
          <w:rPr>
            <w:rStyle w:val="Hyperlink"/>
            <w:noProof/>
          </w:rPr>
          <w:t>Inequities in Education and Employment for  Persons with Disabilities</w:t>
        </w:r>
        <w:r w:rsidR="00BB0D96">
          <w:rPr>
            <w:noProof/>
            <w:webHidden/>
          </w:rPr>
          <w:tab/>
        </w:r>
        <w:r w:rsidR="00BB0D96">
          <w:rPr>
            <w:noProof/>
            <w:webHidden/>
          </w:rPr>
          <w:fldChar w:fldCharType="begin"/>
        </w:r>
        <w:r w:rsidR="00BB0D96">
          <w:rPr>
            <w:noProof/>
            <w:webHidden/>
          </w:rPr>
          <w:instrText xml:space="preserve"> PAGEREF _Toc403370676 \h </w:instrText>
        </w:r>
        <w:r w:rsidR="00BB0D96">
          <w:rPr>
            <w:noProof/>
            <w:webHidden/>
          </w:rPr>
        </w:r>
        <w:r w:rsidR="00BB0D96">
          <w:rPr>
            <w:noProof/>
            <w:webHidden/>
          </w:rPr>
          <w:fldChar w:fldCharType="separate"/>
        </w:r>
        <w:r w:rsidR="0023663B">
          <w:rPr>
            <w:noProof/>
            <w:webHidden/>
          </w:rPr>
          <w:t>21</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77" w:history="1">
        <w:r w:rsidR="00BB0D96" w:rsidRPr="00BF0E56">
          <w:rPr>
            <w:rStyle w:val="Hyperlink"/>
            <w:noProof/>
          </w:rPr>
          <w:t>Montana Disability and Health (MTDH) Program  Target Population</w:t>
        </w:r>
        <w:r w:rsidR="00BB0D96">
          <w:rPr>
            <w:noProof/>
            <w:webHidden/>
          </w:rPr>
          <w:tab/>
        </w:r>
        <w:r w:rsidR="00BB0D96">
          <w:rPr>
            <w:noProof/>
            <w:webHidden/>
          </w:rPr>
          <w:fldChar w:fldCharType="begin"/>
        </w:r>
        <w:r w:rsidR="00BB0D96">
          <w:rPr>
            <w:noProof/>
            <w:webHidden/>
          </w:rPr>
          <w:instrText xml:space="preserve"> PAGEREF _Toc403370677 \h </w:instrText>
        </w:r>
        <w:r w:rsidR="00BB0D96">
          <w:rPr>
            <w:noProof/>
            <w:webHidden/>
          </w:rPr>
        </w:r>
        <w:r w:rsidR="00BB0D96">
          <w:rPr>
            <w:noProof/>
            <w:webHidden/>
          </w:rPr>
          <w:fldChar w:fldCharType="separate"/>
        </w:r>
        <w:r w:rsidR="0023663B">
          <w:rPr>
            <w:noProof/>
            <w:webHidden/>
          </w:rPr>
          <w:t>22</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78" w:history="1">
        <w:r w:rsidR="00BB0D96" w:rsidRPr="00BF0E56">
          <w:rPr>
            <w:rStyle w:val="Hyperlink"/>
            <w:noProof/>
          </w:rPr>
          <w:t>Disability Report Summary and Highlights</w:t>
        </w:r>
        <w:r w:rsidR="00BB0D96">
          <w:rPr>
            <w:noProof/>
            <w:webHidden/>
          </w:rPr>
          <w:tab/>
        </w:r>
        <w:r w:rsidR="00BB0D96">
          <w:rPr>
            <w:noProof/>
            <w:webHidden/>
          </w:rPr>
          <w:fldChar w:fldCharType="begin"/>
        </w:r>
        <w:r w:rsidR="00BB0D96">
          <w:rPr>
            <w:noProof/>
            <w:webHidden/>
          </w:rPr>
          <w:instrText xml:space="preserve"> PAGEREF _Toc403370678 \h </w:instrText>
        </w:r>
        <w:r w:rsidR="00BB0D96">
          <w:rPr>
            <w:noProof/>
            <w:webHidden/>
          </w:rPr>
        </w:r>
        <w:r w:rsidR="00BB0D96">
          <w:rPr>
            <w:noProof/>
            <w:webHidden/>
          </w:rPr>
          <w:fldChar w:fldCharType="separate"/>
        </w:r>
        <w:r w:rsidR="0023663B">
          <w:rPr>
            <w:noProof/>
            <w:webHidden/>
          </w:rPr>
          <w:t>22</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79" w:history="1">
        <w:r w:rsidR="00BB0D96" w:rsidRPr="00BF0E56">
          <w:rPr>
            <w:rStyle w:val="Hyperlink"/>
            <w:noProof/>
          </w:rPr>
          <w:t>Estimated Number of CSHCN in Montana</w:t>
        </w:r>
        <w:r w:rsidR="00BB0D96">
          <w:rPr>
            <w:noProof/>
            <w:webHidden/>
          </w:rPr>
          <w:tab/>
        </w:r>
        <w:r w:rsidR="00BB0D96">
          <w:rPr>
            <w:noProof/>
            <w:webHidden/>
          </w:rPr>
          <w:fldChar w:fldCharType="begin"/>
        </w:r>
        <w:r w:rsidR="00BB0D96">
          <w:rPr>
            <w:noProof/>
            <w:webHidden/>
          </w:rPr>
          <w:instrText xml:space="preserve"> PAGEREF _Toc403370679 \h </w:instrText>
        </w:r>
        <w:r w:rsidR="00BB0D96">
          <w:rPr>
            <w:noProof/>
            <w:webHidden/>
          </w:rPr>
        </w:r>
        <w:r w:rsidR="00BB0D96">
          <w:rPr>
            <w:noProof/>
            <w:webHidden/>
          </w:rPr>
          <w:fldChar w:fldCharType="separate"/>
        </w:r>
        <w:r w:rsidR="0023663B">
          <w:rPr>
            <w:noProof/>
            <w:webHidden/>
          </w:rPr>
          <w:t>25</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80" w:history="1">
        <w:r w:rsidR="00BB0D96" w:rsidRPr="00BF0E56">
          <w:rPr>
            <w:rStyle w:val="Hyperlink"/>
            <w:noProof/>
          </w:rPr>
          <w:t xml:space="preserve">Table: </w:t>
        </w:r>
        <w:r w:rsidR="00BB0D96" w:rsidRPr="00BF0E56">
          <w:rPr>
            <w:rStyle w:val="Hyperlink"/>
            <w:rFonts w:eastAsia="Times New Roman"/>
            <w:noProof/>
          </w:rPr>
          <w:t>CHILD HEALTH SERVICES</w:t>
        </w:r>
        <w:r w:rsidR="00BB0D96">
          <w:rPr>
            <w:noProof/>
            <w:webHidden/>
          </w:rPr>
          <w:tab/>
        </w:r>
        <w:r w:rsidR="00BB0D96">
          <w:rPr>
            <w:noProof/>
            <w:webHidden/>
          </w:rPr>
          <w:fldChar w:fldCharType="begin"/>
        </w:r>
        <w:r w:rsidR="00BB0D96">
          <w:rPr>
            <w:noProof/>
            <w:webHidden/>
          </w:rPr>
          <w:instrText xml:space="preserve"> PAGEREF _Toc403370680 \h </w:instrText>
        </w:r>
        <w:r w:rsidR="00BB0D96">
          <w:rPr>
            <w:noProof/>
            <w:webHidden/>
          </w:rPr>
        </w:r>
        <w:r w:rsidR="00BB0D96">
          <w:rPr>
            <w:noProof/>
            <w:webHidden/>
          </w:rPr>
          <w:fldChar w:fldCharType="separate"/>
        </w:r>
        <w:r w:rsidR="0023663B">
          <w:rPr>
            <w:noProof/>
            <w:webHidden/>
          </w:rPr>
          <w:t>27</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81" w:history="1">
        <w:r w:rsidR="00BB0D96" w:rsidRPr="00BF0E56">
          <w:rPr>
            <w:rStyle w:val="Hyperlink"/>
            <w:noProof/>
          </w:rPr>
          <w:t xml:space="preserve">Table: </w:t>
        </w:r>
        <w:r w:rsidR="00BB0D96" w:rsidRPr="00BF0E56">
          <w:rPr>
            <w:rStyle w:val="Hyperlink"/>
            <w:rFonts w:eastAsia="Times New Roman"/>
            <w:noProof/>
          </w:rPr>
          <w:t>TITLE V PROGRAM</w:t>
        </w:r>
        <w:r w:rsidR="00BB0D96">
          <w:rPr>
            <w:noProof/>
            <w:webHidden/>
          </w:rPr>
          <w:tab/>
        </w:r>
        <w:r w:rsidR="00BB0D96">
          <w:rPr>
            <w:noProof/>
            <w:webHidden/>
          </w:rPr>
          <w:fldChar w:fldCharType="begin"/>
        </w:r>
        <w:r w:rsidR="00BB0D96">
          <w:rPr>
            <w:noProof/>
            <w:webHidden/>
          </w:rPr>
          <w:instrText xml:space="preserve"> PAGEREF _Toc403370681 \h </w:instrText>
        </w:r>
        <w:r w:rsidR="00BB0D96">
          <w:rPr>
            <w:noProof/>
            <w:webHidden/>
          </w:rPr>
        </w:r>
        <w:r w:rsidR="00BB0D96">
          <w:rPr>
            <w:noProof/>
            <w:webHidden/>
          </w:rPr>
          <w:fldChar w:fldCharType="separate"/>
        </w:r>
        <w:r w:rsidR="0023663B">
          <w:rPr>
            <w:noProof/>
            <w:webHidden/>
          </w:rPr>
          <w:t>32</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82" w:history="1">
        <w:r w:rsidR="00BB0D96" w:rsidRPr="00BF0E56">
          <w:rPr>
            <w:rStyle w:val="Hyperlink"/>
            <w:noProof/>
          </w:rPr>
          <w:t>Special Education Services for Preschoolers  with Disabilities</w:t>
        </w:r>
        <w:r w:rsidR="00BB0D96">
          <w:rPr>
            <w:noProof/>
            <w:webHidden/>
          </w:rPr>
          <w:tab/>
        </w:r>
        <w:r w:rsidR="00BB0D96">
          <w:rPr>
            <w:noProof/>
            <w:webHidden/>
          </w:rPr>
          <w:fldChar w:fldCharType="begin"/>
        </w:r>
        <w:r w:rsidR="00BB0D96">
          <w:rPr>
            <w:noProof/>
            <w:webHidden/>
          </w:rPr>
          <w:instrText xml:space="preserve"> PAGEREF _Toc403370682 \h </w:instrText>
        </w:r>
        <w:r w:rsidR="00BB0D96">
          <w:rPr>
            <w:noProof/>
            <w:webHidden/>
          </w:rPr>
        </w:r>
        <w:r w:rsidR="00BB0D96">
          <w:rPr>
            <w:noProof/>
            <w:webHidden/>
          </w:rPr>
          <w:fldChar w:fldCharType="separate"/>
        </w:r>
        <w:r w:rsidR="0023663B">
          <w:rPr>
            <w:noProof/>
            <w:webHidden/>
          </w:rPr>
          <w:t>33</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83" w:history="1">
        <w:r w:rsidR="00BB0D96" w:rsidRPr="00BF0E56">
          <w:rPr>
            <w:rStyle w:val="Hyperlink"/>
            <w:noProof/>
          </w:rPr>
          <w:t>Special Education in Montana</w:t>
        </w:r>
        <w:r w:rsidR="00BB0D96">
          <w:rPr>
            <w:noProof/>
            <w:webHidden/>
          </w:rPr>
          <w:tab/>
        </w:r>
        <w:r w:rsidR="00BB0D96">
          <w:rPr>
            <w:noProof/>
            <w:webHidden/>
          </w:rPr>
          <w:fldChar w:fldCharType="begin"/>
        </w:r>
        <w:r w:rsidR="00BB0D96">
          <w:rPr>
            <w:noProof/>
            <w:webHidden/>
          </w:rPr>
          <w:instrText xml:space="preserve"> PAGEREF _Toc403370683 \h </w:instrText>
        </w:r>
        <w:r w:rsidR="00BB0D96">
          <w:rPr>
            <w:noProof/>
            <w:webHidden/>
          </w:rPr>
        </w:r>
        <w:r w:rsidR="00BB0D96">
          <w:rPr>
            <w:noProof/>
            <w:webHidden/>
          </w:rPr>
          <w:fldChar w:fldCharType="separate"/>
        </w:r>
        <w:r w:rsidR="0023663B">
          <w:rPr>
            <w:noProof/>
            <w:webHidden/>
          </w:rPr>
          <w:t>34</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84" w:history="1">
        <w:r w:rsidR="00BB0D96" w:rsidRPr="00BF0E56">
          <w:rPr>
            <w:rStyle w:val="Hyperlink"/>
            <w:noProof/>
          </w:rPr>
          <w:t>Children and Youth with Disabilities in the Nation</w:t>
        </w:r>
        <w:r w:rsidR="00BB0D96">
          <w:rPr>
            <w:noProof/>
            <w:webHidden/>
          </w:rPr>
          <w:tab/>
        </w:r>
        <w:r w:rsidR="00BB0D96">
          <w:rPr>
            <w:noProof/>
            <w:webHidden/>
          </w:rPr>
          <w:fldChar w:fldCharType="begin"/>
        </w:r>
        <w:r w:rsidR="00BB0D96">
          <w:rPr>
            <w:noProof/>
            <w:webHidden/>
          </w:rPr>
          <w:instrText xml:space="preserve"> PAGEREF _Toc403370684 \h </w:instrText>
        </w:r>
        <w:r w:rsidR="00BB0D96">
          <w:rPr>
            <w:noProof/>
            <w:webHidden/>
          </w:rPr>
        </w:r>
        <w:r w:rsidR="00BB0D96">
          <w:rPr>
            <w:noProof/>
            <w:webHidden/>
          </w:rPr>
          <w:fldChar w:fldCharType="separate"/>
        </w:r>
        <w:r w:rsidR="0023663B">
          <w:rPr>
            <w:noProof/>
            <w:webHidden/>
          </w:rPr>
          <w:t>34</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85" w:history="1">
        <w:r w:rsidR="00BB0D96" w:rsidRPr="00BF0E56">
          <w:rPr>
            <w:rStyle w:val="Hyperlink"/>
            <w:noProof/>
          </w:rPr>
          <w:t>Children and Youth with Disabilities in Montana</w:t>
        </w:r>
        <w:r w:rsidR="00BB0D96">
          <w:rPr>
            <w:noProof/>
            <w:webHidden/>
          </w:rPr>
          <w:tab/>
        </w:r>
        <w:r w:rsidR="00BB0D96">
          <w:rPr>
            <w:noProof/>
            <w:webHidden/>
          </w:rPr>
          <w:fldChar w:fldCharType="begin"/>
        </w:r>
        <w:r w:rsidR="00BB0D96">
          <w:rPr>
            <w:noProof/>
            <w:webHidden/>
          </w:rPr>
          <w:instrText xml:space="preserve"> PAGEREF _Toc403370685 \h </w:instrText>
        </w:r>
        <w:r w:rsidR="00BB0D96">
          <w:rPr>
            <w:noProof/>
            <w:webHidden/>
          </w:rPr>
        </w:r>
        <w:r w:rsidR="00BB0D96">
          <w:rPr>
            <w:noProof/>
            <w:webHidden/>
          </w:rPr>
          <w:fldChar w:fldCharType="separate"/>
        </w:r>
        <w:r w:rsidR="0023663B">
          <w:rPr>
            <w:noProof/>
            <w:webHidden/>
          </w:rPr>
          <w:t>36</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86" w:history="1">
        <w:r w:rsidR="00BB0D96" w:rsidRPr="00BF0E56">
          <w:rPr>
            <w:rStyle w:val="Hyperlink"/>
            <w:noProof/>
          </w:rPr>
          <w:t>Montana State Nutrition, Physical Activity, and Obesity Profile 2012</w:t>
        </w:r>
        <w:r w:rsidR="00BB0D96">
          <w:rPr>
            <w:noProof/>
            <w:webHidden/>
          </w:rPr>
          <w:tab/>
        </w:r>
        <w:r w:rsidR="00BB0D96">
          <w:rPr>
            <w:noProof/>
            <w:webHidden/>
          </w:rPr>
          <w:fldChar w:fldCharType="begin"/>
        </w:r>
        <w:r w:rsidR="00BB0D96">
          <w:rPr>
            <w:noProof/>
            <w:webHidden/>
          </w:rPr>
          <w:instrText xml:space="preserve"> PAGEREF _Toc403370686 \h </w:instrText>
        </w:r>
        <w:r w:rsidR="00BB0D96">
          <w:rPr>
            <w:noProof/>
            <w:webHidden/>
          </w:rPr>
        </w:r>
        <w:r w:rsidR="00BB0D96">
          <w:rPr>
            <w:noProof/>
            <w:webHidden/>
          </w:rPr>
          <w:fldChar w:fldCharType="separate"/>
        </w:r>
        <w:r w:rsidR="0023663B">
          <w:rPr>
            <w:noProof/>
            <w:webHidden/>
          </w:rPr>
          <w:t>37</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87" w:history="1">
        <w:r w:rsidR="00BB0D96" w:rsidRPr="00BF0E56">
          <w:rPr>
            <w:rStyle w:val="Hyperlink"/>
            <w:noProof/>
          </w:rPr>
          <w:t>Inequities in Education and Employment for Persons with Disabilities</w:t>
        </w:r>
        <w:r w:rsidR="00BB0D96">
          <w:rPr>
            <w:noProof/>
            <w:webHidden/>
          </w:rPr>
          <w:tab/>
        </w:r>
        <w:r w:rsidR="00BB0D96">
          <w:rPr>
            <w:noProof/>
            <w:webHidden/>
          </w:rPr>
          <w:fldChar w:fldCharType="begin"/>
        </w:r>
        <w:r w:rsidR="00BB0D96">
          <w:rPr>
            <w:noProof/>
            <w:webHidden/>
          </w:rPr>
          <w:instrText xml:space="preserve"> PAGEREF _Toc403370687 \h </w:instrText>
        </w:r>
        <w:r w:rsidR="00BB0D96">
          <w:rPr>
            <w:noProof/>
            <w:webHidden/>
          </w:rPr>
        </w:r>
        <w:r w:rsidR="00BB0D96">
          <w:rPr>
            <w:noProof/>
            <w:webHidden/>
          </w:rPr>
          <w:fldChar w:fldCharType="separate"/>
        </w:r>
        <w:r w:rsidR="0023663B">
          <w:rPr>
            <w:noProof/>
            <w:webHidden/>
          </w:rPr>
          <w:t>38</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88" w:history="1">
        <w:r w:rsidR="00BB0D96" w:rsidRPr="00BF0E56">
          <w:rPr>
            <w:rStyle w:val="Hyperlink"/>
            <w:noProof/>
          </w:rPr>
          <w:t>State and National Progress</w:t>
        </w:r>
        <w:r w:rsidR="00BB0D96">
          <w:rPr>
            <w:noProof/>
            <w:webHidden/>
          </w:rPr>
          <w:tab/>
        </w:r>
        <w:r w:rsidR="00BB0D96">
          <w:rPr>
            <w:noProof/>
            <w:webHidden/>
          </w:rPr>
          <w:fldChar w:fldCharType="begin"/>
        </w:r>
        <w:r w:rsidR="00BB0D96">
          <w:rPr>
            <w:noProof/>
            <w:webHidden/>
          </w:rPr>
          <w:instrText xml:space="preserve"> PAGEREF _Toc403370688 \h </w:instrText>
        </w:r>
        <w:r w:rsidR="00BB0D96">
          <w:rPr>
            <w:noProof/>
            <w:webHidden/>
          </w:rPr>
        </w:r>
        <w:r w:rsidR="00BB0D96">
          <w:rPr>
            <w:noProof/>
            <w:webHidden/>
          </w:rPr>
          <w:fldChar w:fldCharType="separate"/>
        </w:r>
        <w:r w:rsidR="0023663B">
          <w:rPr>
            <w:noProof/>
            <w:webHidden/>
          </w:rPr>
          <w:t>39</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89" w:history="1">
        <w:r w:rsidR="00BB0D96" w:rsidRPr="00BF0E56">
          <w:rPr>
            <w:rStyle w:val="Hyperlink"/>
            <w:noProof/>
          </w:rPr>
          <w:t>Vision, Mission, Goal, and Strategies</w:t>
        </w:r>
        <w:r w:rsidR="00BB0D96">
          <w:rPr>
            <w:noProof/>
            <w:webHidden/>
          </w:rPr>
          <w:tab/>
        </w:r>
        <w:r w:rsidR="00BB0D96">
          <w:rPr>
            <w:noProof/>
            <w:webHidden/>
          </w:rPr>
          <w:fldChar w:fldCharType="begin"/>
        </w:r>
        <w:r w:rsidR="00BB0D96">
          <w:rPr>
            <w:noProof/>
            <w:webHidden/>
          </w:rPr>
          <w:instrText xml:space="preserve"> PAGEREF _Toc403370689 \h </w:instrText>
        </w:r>
        <w:r w:rsidR="00BB0D96">
          <w:rPr>
            <w:noProof/>
            <w:webHidden/>
          </w:rPr>
        </w:r>
        <w:r w:rsidR="00BB0D96">
          <w:rPr>
            <w:noProof/>
            <w:webHidden/>
          </w:rPr>
          <w:fldChar w:fldCharType="separate"/>
        </w:r>
        <w:r w:rsidR="0023663B">
          <w:rPr>
            <w:noProof/>
            <w:webHidden/>
          </w:rPr>
          <w:t>43</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90" w:history="1">
        <w:r w:rsidR="00BB0D96" w:rsidRPr="00BF0E56">
          <w:rPr>
            <w:rStyle w:val="Hyperlink"/>
            <w:noProof/>
          </w:rPr>
          <w:t>Primary Partners</w:t>
        </w:r>
        <w:r w:rsidR="00BB0D96">
          <w:rPr>
            <w:noProof/>
            <w:webHidden/>
          </w:rPr>
          <w:tab/>
        </w:r>
        <w:r w:rsidR="00BB0D96">
          <w:rPr>
            <w:noProof/>
            <w:webHidden/>
          </w:rPr>
          <w:fldChar w:fldCharType="begin"/>
        </w:r>
        <w:r w:rsidR="00BB0D96">
          <w:rPr>
            <w:noProof/>
            <w:webHidden/>
          </w:rPr>
          <w:instrText xml:space="preserve"> PAGEREF _Toc403370690 \h </w:instrText>
        </w:r>
        <w:r w:rsidR="00BB0D96">
          <w:rPr>
            <w:noProof/>
            <w:webHidden/>
          </w:rPr>
        </w:r>
        <w:r w:rsidR="00BB0D96">
          <w:rPr>
            <w:noProof/>
            <w:webHidden/>
          </w:rPr>
          <w:fldChar w:fldCharType="separate"/>
        </w:r>
        <w:r w:rsidR="0023663B">
          <w:rPr>
            <w:noProof/>
            <w:webHidden/>
          </w:rPr>
          <w:t>44</w:t>
        </w:r>
        <w:r w:rsidR="00BB0D96">
          <w:rPr>
            <w:noProof/>
            <w:webHidden/>
          </w:rPr>
          <w:fldChar w:fldCharType="end"/>
        </w:r>
      </w:hyperlink>
    </w:p>
    <w:p w:rsidR="00BB0D96" w:rsidRDefault="00B655D7">
      <w:pPr>
        <w:pStyle w:val="TOC2"/>
        <w:tabs>
          <w:tab w:val="right" w:leader="dot" w:pos="9350"/>
        </w:tabs>
        <w:rPr>
          <w:b w:val="0"/>
          <w:bCs w:val="0"/>
          <w:noProof/>
          <w:sz w:val="22"/>
          <w:szCs w:val="22"/>
        </w:rPr>
      </w:pPr>
      <w:hyperlink w:anchor="_Toc403370691" w:history="1">
        <w:r w:rsidR="00BB0D96" w:rsidRPr="00BF0E56">
          <w:rPr>
            <w:rStyle w:val="Hyperlink"/>
            <w:noProof/>
          </w:rPr>
          <w:t>Logic Model</w:t>
        </w:r>
        <w:r w:rsidR="00BB0D96">
          <w:rPr>
            <w:noProof/>
            <w:webHidden/>
          </w:rPr>
          <w:tab/>
        </w:r>
        <w:r w:rsidR="00BB0D96">
          <w:rPr>
            <w:noProof/>
            <w:webHidden/>
          </w:rPr>
          <w:fldChar w:fldCharType="begin"/>
        </w:r>
        <w:r w:rsidR="00BB0D96">
          <w:rPr>
            <w:noProof/>
            <w:webHidden/>
          </w:rPr>
          <w:instrText xml:space="preserve"> PAGEREF _Toc403370691 \h </w:instrText>
        </w:r>
        <w:r w:rsidR="00BB0D96">
          <w:rPr>
            <w:noProof/>
            <w:webHidden/>
          </w:rPr>
        </w:r>
        <w:r w:rsidR="00BB0D96">
          <w:rPr>
            <w:noProof/>
            <w:webHidden/>
          </w:rPr>
          <w:fldChar w:fldCharType="separate"/>
        </w:r>
        <w:r w:rsidR="0023663B">
          <w:rPr>
            <w:noProof/>
            <w:webHidden/>
          </w:rPr>
          <w:t>46</w:t>
        </w:r>
        <w:r w:rsidR="00BB0D96">
          <w:rPr>
            <w:noProof/>
            <w:webHidden/>
          </w:rPr>
          <w:fldChar w:fldCharType="end"/>
        </w:r>
      </w:hyperlink>
    </w:p>
    <w:p w:rsidR="00BB0D96" w:rsidRDefault="00B655D7">
      <w:pPr>
        <w:pStyle w:val="TOC3"/>
        <w:tabs>
          <w:tab w:val="right" w:leader="dot" w:pos="9350"/>
        </w:tabs>
        <w:rPr>
          <w:noProof/>
          <w:sz w:val="22"/>
          <w:szCs w:val="22"/>
        </w:rPr>
      </w:pPr>
      <w:hyperlink w:anchor="_Toc403370692" w:history="1">
        <w:r w:rsidR="00BB0D96" w:rsidRPr="00BF0E56">
          <w:rPr>
            <w:rStyle w:val="Hyperlink"/>
            <w:noProof/>
          </w:rPr>
          <w:t>Outcome Goal One: Enhance Program Infrastructure and Capacity</w:t>
        </w:r>
        <w:r w:rsidR="00BB0D96">
          <w:rPr>
            <w:noProof/>
            <w:webHidden/>
          </w:rPr>
          <w:tab/>
        </w:r>
        <w:r w:rsidR="00BB0D96">
          <w:rPr>
            <w:noProof/>
            <w:webHidden/>
          </w:rPr>
          <w:fldChar w:fldCharType="begin"/>
        </w:r>
        <w:r w:rsidR="00BB0D96">
          <w:rPr>
            <w:noProof/>
            <w:webHidden/>
          </w:rPr>
          <w:instrText xml:space="preserve"> PAGEREF _Toc403370692 \h </w:instrText>
        </w:r>
        <w:r w:rsidR="00BB0D96">
          <w:rPr>
            <w:noProof/>
            <w:webHidden/>
          </w:rPr>
        </w:r>
        <w:r w:rsidR="00BB0D96">
          <w:rPr>
            <w:noProof/>
            <w:webHidden/>
          </w:rPr>
          <w:fldChar w:fldCharType="separate"/>
        </w:r>
        <w:r w:rsidR="0023663B">
          <w:rPr>
            <w:noProof/>
            <w:webHidden/>
          </w:rPr>
          <w:t>48</w:t>
        </w:r>
        <w:r w:rsidR="00BB0D96">
          <w:rPr>
            <w:noProof/>
            <w:webHidden/>
          </w:rPr>
          <w:fldChar w:fldCharType="end"/>
        </w:r>
      </w:hyperlink>
    </w:p>
    <w:p w:rsidR="00BB0D96" w:rsidRDefault="00B655D7">
      <w:pPr>
        <w:pStyle w:val="TOC3"/>
        <w:tabs>
          <w:tab w:val="right" w:leader="dot" w:pos="9350"/>
        </w:tabs>
        <w:rPr>
          <w:noProof/>
          <w:sz w:val="22"/>
          <w:szCs w:val="22"/>
        </w:rPr>
      </w:pPr>
      <w:hyperlink w:anchor="_Toc403370693" w:history="1">
        <w:r w:rsidR="00BB0D96" w:rsidRPr="00BF0E56">
          <w:rPr>
            <w:rStyle w:val="Hyperlink"/>
            <w:noProof/>
          </w:rPr>
          <w:t>Outcome Goal Two: Support Direct Services and Programs</w:t>
        </w:r>
        <w:r w:rsidR="00BB0D96">
          <w:rPr>
            <w:noProof/>
            <w:webHidden/>
          </w:rPr>
          <w:tab/>
        </w:r>
        <w:r w:rsidR="00BB0D96">
          <w:rPr>
            <w:noProof/>
            <w:webHidden/>
          </w:rPr>
          <w:fldChar w:fldCharType="begin"/>
        </w:r>
        <w:r w:rsidR="00BB0D96">
          <w:rPr>
            <w:noProof/>
            <w:webHidden/>
          </w:rPr>
          <w:instrText xml:space="preserve"> PAGEREF _Toc403370693 \h </w:instrText>
        </w:r>
        <w:r w:rsidR="00BB0D96">
          <w:rPr>
            <w:noProof/>
            <w:webHidden/>
          </w:rPr>
        </w:r>
        <w:r w:rsidR="00BB0D96">
          <w:rPr>
            <w:noProof/>
            <w:webHidden/>
          </w:rPr>
          <w:fldChar w:fldCharType="separate"/>
        </w:r>
        <w:r w:rsidR="0023663B">
          <w:rPr>
            <w:noProof/>
            <w:webHidden/>
          </w:rPr>
          <w:t>55</w:t>
        </w:r>
        <w:r w:rsidR="00BB0D96">
          <w:rPr>
            <w:noProof/>
            <w:webHidden/>
          </w:rPr>
          <w:fldChar w:fldCharType="end"/>
        </w:r>
      </w:hyperlink>
    </w:p>
    <w:p w:rsidR="00BB0D96" w:rsidRDefault="00B655D7">
      <w:pPr>
        <w:pStyle w:val="TOC3"/>
        <w:tabs>
          <w:tab w:val="right" w:leader="dot" w:pos="9350"/>
        </w:tabs>
        <w:rPr>
          <w:noProof/>
          <w:sz w:val="22"/>
          <w:szCs w:val="22"/>
        </w:rPr>
      </w:pPr>
      <w:hyperlink w:anchor="_Toc403370694" w:history="1">
        <w:r w:rsidR="00BB0D96" w:rsidRPr="00BF0E56">
          <w:rPr>
            <w:rStyle w:val="Hyperlink"/>
            <w:noProof/>
          </w:rPr>
          <w:t>Outcome Goal Three: Improve Access to Generic Services</w:t>
        </w:r>
        <w:r w:rsidR="00BB0D96">
          <w:rPr>
            <w:noProof/>
            <w:webHidden/>
          </w:rPr>
          <w:tab/>
        </w:r>
        <w:r w:rsidR="00BB0D96">
          <w:rPr>
            <w:noProof/>
            <w:webHidden/>
          </w:rPr>
          <w:fldChar w:fldCharType="begin"/>
        </w:r>
        <w:r w:rsidR="00BB0D96">
          <w:rPr>
            <w:noProof/>
            <w:webHidden/>
          </w:rPr>
          <w:instrText xml:space="preserve"> PAGEREF _Toc403370694 \h </w:instrText>
        </w:r>
        <w:r w:rsidR="00BB0D96">
          <w:rPr>
            <w:noProof/>
            <w:webHidden/>
          </w:rPr>
        </w:r>
        <w:r w:rsidR="00BB0D96">
          <w:rPr>
            <w:noProof/>
            <w:webHidden/>
          </w:rPr>
          <w:fldChar w:fldCharType="separate"/>
        </w:r>
        <w:r w:rsidR="0023663B">
          <w:rPr>
            <w:noProof/>
            <w:webHidden/>
          </w:rPr>
          <w:t>57</w:t>
        </w:r>
        <w:r w:rsidR="00BB0D96">
          <w:rPr>
            <w:noProof/>
            <w:webHidden/>
          </w:rPr>
          <w:fldChar w:fldCharType="end"/>
        </w:r>
      </w:hyperlink>
    </w:p>
    <w:p w:rsidR="00BB0D96" w:rsidRDefault="00B655D7">
      <w:pPr>
        <w:pStyle w:val="TOC3"/>
        <w:tabs>
          <w:tab w:val="right" w:leader="dot" w:pos="9350"/>
        </w:tabs>
        <w:rPr>
          <w:noProof/>
          <w:sz w:val="22"/>
          <w:szCs w:val="22"/>
        </w:rPr>
      </w:pPr>
      <w:hyperlink w:anchor="_Toc403370695" w:history="1">
        <w:r w:rsidR="00BB0D96" w:rsidRPr="00BF0E56">
          <w:rPr>
            <w:rStyle w:val="Hyperlink"/>
            <w:noProof/>
          </w:rPr>
          <w:t>Outcome Goal Four: Improve Access to Community Environments</w:t>
        </w:r>
        <w:r w:rsidR="00BB0D96">
          <w:rPr>
            <w:noProof/>
            <w:webHidden/>
          </w:rPr>
          <w:tab/>
        </w:r>
        <w:r w:rsidR="00BB0D96">
          <w:rPr>
            <w:noProof/>
            <w:webHidden/>
          </w:rPr>
          <w:fldChar w:fldCharType="begin"/>
        </w:r>
        <w:r w:rsidR="00BB0D96">
          <w:rPr>
            <w:noProof/>
            <w:webHidden/>
          </w:rPr>
          <w:instrText xml:space="preserve"> PAGEREF _Toc403370695 \h </w:instrText>
        </w:r>
        <w:r w:rsidR="00BB0D96">
          <w:rPr>
            <w:noProof/>
            <w:webHidden/>
          </w:rPr>
        </w:r>
        <w:r w:rsidR="00BB0D96">
          <w:rPr>
            <w:noProof/>
            <w:webHidden/>
          </w:rPr>
          <w:fldChar w:fldCharType="separate"/>
        </w:r>
        <w:r w:rsidR="0023663B">
          <w:rPr>
            <w:noProof/>
            <w:webHidden/>
          </w:rPr>
          <w:t>60</w:t>
        </w:r>
        <w:r w:rsidR="00BB0D96">
          <w:rPr>
            <w:noProof/>
            <w:webHidden/>
          </w:rPr>
          <w:fldChar w:fldCharType="end"/>
        </w:r>
      </w:hyperlink>
    </w:p>
    <w:p w:rsidR="00BB0D96" w:rsidRDefault="00B655D7">
      <w:pPr>
        <w:pStyle w:val="TOC3"/>
        <w:tabs>
          <w:tab w:val="right" w:leader="dot" w:pos="9350"/>
        </w:tabs>
        <w:rPr>
          <w:noProof/>
          <w:sz w:val="22"/>
          <w:szCs w:val="22"/>
        </w:rPr>
      </w:pPr>
      <w:hyperlink w:anchor="_Toc403370696" w:history="1">
        <w:r w:rsidR="00BB0D96" w:rsidRPr="00BF0E56">
          <w:rPr>
            <w:rStyle w:val="Hyperlink"/>
            <w:noProof/>
          </w:rPr>
          <w:t>Outcome Goal Five: Integrate Disability and Health Agenda</w:t>
        </w:r>
        <w:r w:rsidR="00BB0D96">
          <w:rPr>
            <w:noProof/>
            <w:webHidden/>
          </w:rPr>
          <w:tab/>
        </w:r>
        <w:r w:rsidR="00BB0D96">
          <w:rPr>
            <w:noProof/>
            <w:webHidden/>
          </w:rPr>
          <w:fldChar w:fldCharType="begin"/>
        </w:r>
        <w:r w:rsidR="00BB0D96">
          <w:rPr>
            <w:noProof/>
            <w:webHidden/>
          </w:rPr>
          <w:instrText xml:space="preserve"> PAGEREF _Toc403370696 \h </w:instrText>
        </w:r>
        <w:r w:rsidR="00BB0D96">
          <w:rPr>
            <w:noProof/>
            <w:webHidden/>
          </w:rPr>
        </w:r>
        <w:r w:rsidR="00BB0D96">
          <w:rPr>
            <w:noProof/>
            <w:webHidden/>
          </w:rPr>
          <w:fldChar w:fldCharType="separate"/>
        </w:r>
        <w:r w:rsidR="0023663B">
          <w:rPr>
            <w:noProof/>
            <w:webHidden/>
          </w:rPr>
          <w:t>66</w:t>
        </w:r>
        <w:r w:rsidR="00BB0D96">
          <w:rPr>
            <w:noProof/>
            <w:webHidden/>
          </w:rPr>
          <w:fldChar w:fldCharType="end"/>
        </w:r>
      </w:hyperlink>
    </w:p>
    <w:p w:rsidR="00054CF1" w:rsidRDefault="00054CF1" w:rsidP="003A60C3">
      <w:pPr>
        <w:pStyle w:val="Heading1"/>
        <w:sectPr w:rsidR="00054CF1" w:rsidSect="00A07593">
          <w:headerReference w:type="default" r:id="rId9"/>
          <w:footerReference w:type="default" r:id="rId10"/>
          <w:pgSz w:w="12240" w:h="15840"/>
          <w:pgMar w:top="1440" w:right="1440" w:bottom="1440" w:left="1440" w:header="720" w:footer="720" w:gutter="0"/>
          <w:cols w:space="720"/>
          <w:docGrid w:linePitch="360"/>
        </w:sectPr>
      </w:pPr>
      <w:r w:rsidRPr="00B248E6">
        <w:rPr>
          <w:sz w:val="22"/>
        </w:rPr>
        <w:fldChar w:fldCharType="end"/>
      </w:r>
    </w:p>
    <w:p w:rsidR="00844E9A" w:rsidRPr="00CE6D1A" w:rsidRDefault="005E7059" w:rsidP="005E7059">
      <w:pPr>
        <w:pStyle w:val="Heading1"/>
        <w:rPr>
          <w:sz w:val="18"/>
          <w:szCs w:val="18"/>
        </w:rPr>
      </w:pPr>
      <w:bookmarkStart w:id="1" w:name="_Toc403370661"/>
      <w:r w:rsidRPr="005E7059">
        <w:lastRenderedPageBreak/>
        <w:t>Introduction (2014 Strategic Pla</w:t>
      </w:r>
      <w:r>
        <w:t>n</w:t>
      </w:r>
      <w:r w:rsidR="001E2BE8">
        <w:t>)</w:t>
      </w:r>
      <w:bookmarkEnd w:id="1"/>
    </w:p>
    <w:p w:rsidR="00A04E55" w:rsidRPr="003446EE" w:rsidRDefault="00A04E55" w:rsidP="005E7059">
      <w:pPr>
        <w:pStyle w:val="Heading2"/>
      </w:pPr>
      <w:bookmarkStart w:id="2" w:name="_Toc403370662"/>
      <w:r w:rsidRPr="003446EE">
        <w:t>The Big Picture</w:t>
      </w:r>
      <w:bookmarkEnd w:id="2"/>
    </w:p>
    <w:p w:rsidR="00083465" w:rsidRPr="0000684F" w:rsidRDefault="00083465" w:rsidP="00083465">
      <w:pPr>
        <w:rPr>
          <w:rFonts w:cs="Times New Roman"/>
          <w:szCs w:val="24"/>
        </w:rPr>
      </w:pPr>
      <w:r w:rsidRPr="0000684F">
        <w:t xml:space="preserve">“Disability has been defined in many ways.  In general, a disability is a feature of the body, mind, or senses that can affect a person’s daily life. Some people are born with a disability. Some people get hurt or sick and have a disability as a result. Some people develop a disability as they age. Some people have a disability that lasts a short time. Other people have a disability that lasts a lifetime. “More than 50 million Americans (1 in 6 individuals), report having a disability. As the nation’s population ages, these numbers are expected to grow.” </w:t>
      </w:r>
      <w:r w:rsidRPr="00BD7BC6">
        <w:rPr>
          <w:rStyle w:val="FootnoteReference"/>
          <w:rFonts w:cs="Arial"/>
        </w:rPr>
        <w:footnoteReference w:id="1"/>
      </w:r>
      <w:r>
        <w:rPr>
          <w:rStyle w:val="FootnoteReference"/>
          <w:rFonts w:cs="Arial"/>
        </w:rPr>
        <w:t xml:space="preserve"> </w:t>
      </w:r>
    </w:p>
    <w:p w:rsidR="00083465" w:rsidRPr="00083465" w:rsidRDefault="00083465" w:rsidP="00083465">
      <w:r>
        <w:t>Adults with disabilities face challenges in:</w:t>
      </w:r>
    </w:p>
    <w:p w:rsidR="005A63F3" w:rsidRPr="005E7059" w:rsidRDefault="005A63F3" w:rsidP="00F9158C">
      <w:pPr>
        <w:pStyle w:val="ListParagraph"/>
        <w:numPr>
          <w:ilvl w:val="0"/>
          <w:numId w:val="82"/>
        </w:numPr>
      </w:pPr>
      <w:r w:rsidRPr="00857D17">
        <w:rPr>
          <w:u w:val="single"/>
        </w:rPr>
        <w:t>Employment</w:t>
      </w:r>
      <w:r w:rsidRPr="005E7059">
        <w:t>: Half as many adults with disabilities are employed as those without disabilities (35% versus 78%).</w:t>
      </w:r>
    </w:p>
    <w:p w:rsidR="005A63F3" w:rsidRPr="005E7059" w:rsidRDefault="005A63F3" w:rsidP="00F9158C">
      <w:pPr>
        <w:pStyle w:val="ListParagraph"/>
        <w:numPr>
          <w:ilvl w:val="0"/>
          <w:numId w:val="82"/>
        </w:numPr>
      </w:pPr>
      <w:r w:rsidRPr="00857D17">
        <w:rPr>
          <w:u w:val="single"/>
        </w:rPr>
        <w:t>Economic status</w:t>
      </w:r>
      <w:r w:rsidRPr="005E7059">
        <w:t>: Three times as many adults with disabilities live in poverty with annual household incomes below $15,000 (26% versus 9%).</w:t>
      </w:r>
    </w:p>
    <w:p w:rsidR="005A63F3" w:rsidRPr="005E7059" w:rsidRDefault="005A63F3" w:rsidP="00F9158C">
      <w:pPr>
        <w:pStyle w:val="ListParagraph"/>
        <w:numPr>
          <w:ilvl w:val="0"/>
          <w:numId w:val="82"/>
        </w:numPr>
      </w:pPr>
      <w:r w:rsidRPr="00857D17">
        <w:rPr>
          <w:rFonts w:eastAsiaTheme="minorHAnsi"/>
          <w:u w:val="single"/>
        </w:rPr>
        <w:t>Transportation &amp; health care</w:t>
      </w:r>
      <w:r w:rsidRPr="00857D17">
        <w:rPr>
          <w:rFonts w:eastAsiaTheme="minorHAnsi"/>
        </w:rPr>
        <w:t>: Adults with disabilities are twice as likely as those without disabilities to have inadequate transportation (31% versus 13%), and a much higher percentage go without needed health care (18% versus 7%).</w:t>
      </w:r>
      <w:r w:rsidR="00844E9A" w:rsidRPr="005E7059">
        <w:rPr>
          <w:rStyle w:val="FootnoteReference"/>
          <w:rFonts w:eastAsiaTheme="minorHAnsi" w:cs="Arial"/>
          <w:color w:val="000000"/>
          <w:szCs w:val="22"/>
        </w:rPr>
        <w:footnoteReference w:id="2"/>
      </w:r>
      <w:r w:rsidRPr="00857D17">
        <w:rPr>
          <w:rFonts w:eastAsiaTheme="minorHAnsi"/>
        </w:rPr>
        <w:t xml:space="preserve"> </w:t>
      </w:r>
    </w:p>
    <w:p w:rsidR="00673D18" w:rsidRPr="00673D18" w:rsidRDefault="00673D18" w:rsidP="005E7059">
      <w:r w:rsidRPr="00673D18">
        <w:t>The 2005 Surgeon General’s Call to Action</w:t>
      </w:r>
      <w:r w:rsidRPr="00673D18">
        <w:rPr>
          <w:rStyle w:val="FootnoteReference"/>
          <w:rFonts w:cs="Arial"/>
        </w:rPr>
        <w:footnoteReference w:id="3"/>
      </w:r>
      <w:r w:rsidRPr="00673D18">
        <w:t xml:space="preserve"> to improve the health and wellness of persons with disabilities</w:t>
      </w:r>
      <w:r w:rsidR="0033495B">
        <w:t xml:space="preserve"> </w:t>
      </w:r>
      <w:r w:rsidRPr="00673D18">
        <w:t>defined disability as “a feature of the body, mind or senses that can affect a person’s daily life.” Key points of the Call to Action include the following:</w:t>
      </w:r>
    </w:p>
    <w:p w:rsidR="00673D18" w:rsidRPr="005E7059" w:rsidRDefault="00673D18" w:rsidP="00F9158C">
      <w:pPr>
        <w:pStyle w:val="ListParagraph"/>
        <w:numPr>
          <w:ilvl w:val="0"/>
          <w:numId w:val="15"/>
        </w:numPr>
        <w:rPr>
          <w:szCs w:val="22"/>
        </w:rPr>
      </w:pPr>
      <w:r w:rsidRPr="005E7059">
        <w:rPr>
          <w:szCs w:val="22"/>
        </w:rPr>
        <w:t xml:space="preserve">People with disabilities need health care and health programs for the same reasons anyone else does—to stay well, active, and a part of the community. </w:t>
      </w:r>
    </w:p>
    <w:p w:rsidR="00673D18" w:rsidRPr="005E7059" w:rsidRDefault="00673D18" w:rsidP="00F9158C">
      <w:pPr>
        <w:pStyle w:val="ListParagraph"/>
        <w:numPr>
          <w:ilvl w:val="0"/>
          <w:numId w:val="15"/>
        </w:numPr>
        <w:rPr>
          <w:szCs w:val="22"/>
        </w:rPr>
      </w:pPr>
      <w:r w:rsidRPr="005E7059">
        <w:rPr>
          <w:szCs w:val="22"/>
        </w:rPr>
        <w:t>People with or without disabilities can stay healthy by learning about and living healthy lifestyles.</w:t>
      </w:r>
    </w:p>
    <w:p w:rsidR="00673D18" w:rsidRPr="005E7059" w:rsidRDefault="00673D18" w:rsidP="00F9158C">
      <w:pPr>
        <w:pStyle w:val="ListParagraph"/>
        <w:numPr>
          <w:ilvl w:val="0"/>
          <w:numId w:val="15"/>
        </w:numPr>
        <w:rPr>
          <w:szCs w:val="22"/>
        </w:rPr>
      </w:pPr>
      <w:bookmarkStart w:id="3" w:name="choose"/>
      <w:r w:rsidRPr="005E7059">
        <w:rPr>
          <w:iCs/>
          <w:szCs w:val="22"/>
        </w:rPr>
        <w:t>With good health, people with disabilities can work, learn, and be active in all areas of life.</w:t>
      </w:r>
    </w:p>
    <w:p w:rsidR="00673D18" w:rsidRPr="005E7059" w:rsidRDefault="00673D18" w:rsidP="00F9158C">
      <w:pPr>
        <w:pStyle w:val="ListParagraph"/>
        <w:numPr>
          <w:ilvl w:val="0"/>
          <w:numId w:val="15"/>
        </w:numPr>
        <w:rPr>
          <w:szCs w:val="22"/>
        </w:rPr>
      </w:pPr>
      <w:bookmarkStart w:id="4" w:name="HCPro"/>
      <w:bookmarkEnd w:id="3"/>
      <w:r w:rsidRPr="005E7059">
        <w:rPr>
          <w:iCs/>
          <w:szCs w:val="22"/>
        </w:rPr>
        <w:t>Health care professionals can improve the health and wellness of people with disabilities by meeting the needs of the whole person.</w:t>
      </w:r>
      <w:bookmarkEnd w:id="4"/>
    </w:p>
    <w:p w:rsidR="00C47521" w:rsidRPr="005E7059" w:rsidRDefault="00673D18" w:rsidP="00F9158C">
      <w:pPr>
        <w:pStyle w:val="ListParagraph"/>
        <w:numPr>
          <w:ilvl w:val="0"/>
          <w:numId w:val="15"/>
        </w:numPr>
        <w:rPr>
          <w:szCs w:val="22"/>
        </w:rPr>
      </w:pPr>
      <w:bookmarkStart w:id="5" w:name="getcare"/>
      <w:bookmarkStart w:id="6" w:name="live"/>
      <w:r w:rsidRPr="005E7059">
        <w:rPr>
          <w:iCs/>
          <w:szCs w:val="22"/>
        </w:rPr>
        <w:t>People with disabilities must be able to get the care and services they need to help them be healthy.</w:t>
      </w:r>
      <w:bookmarkEnd w:id="5"/>
      <w:bookmarkEnd w:id="6"/>
    </w:p>
    <w:p w:rsidR="00673D18" w:rsidRDefault="00673D18" w:rsidP="005E7059">
      <w:r w:rsidRPr="00673D18">
        <w:t xml:space="preserve">When the first </w:t>
      </w:r>
      <w:r w:rsidRPr="00673D18">
        <w:rPr>
          <w:i/>
        </w:rPr>
        <w:t>Montana Disability and Health Program Strategic Plan</w:t>
      </w:r>
      <w:r w:rsidRPr="00673D18">
        <w:t xml:space="preserve"> was published in </w:t>
      </w:r>
      <w:r w:rsidRPr="00673D18">
        <w:rPr>
          <w:b/>
        </w:rPr>
        <w:t>2006</w:t>
      </w:r>
      <w:r w:rsidRPr="00673D18">
        <w:t xml:space="preserve">, it was estimated that nearly </w:t>
      </w:r>
      <w:r w:rsidRPr="00673D18">
        <w:rPr>
          <w:u w:val="single"/>
        </w:rPr>
        <w:t>54 million people</w:t>
      </w:r>
      <w:r w:rsidRPr="00673D18">
        <w:t xml:space="preserve"> in the U.S. (about 20% of the civilian, non-institutionalized population over the age of 5 years) had a disability.  According to Behavioral </w:t>
      </w:r>
      <w:r w:rsidR="00681C2A">
        <w:t xml:space="preserve">most recent estimates, </w:t>
      </w:r>
      <w:r w:rsidRPr="00673D18">
        <w:t xml:space="preserve">Risk Factor Surveillance System (BRFSS) 2010 data, there were approximately 53 million </w:t>
      </w:r>
      <w:r w:rsidRPr="00673D18">
        <w:rPr>
          <w:b/>
          <w:i/>
        </w:rPr>
        <w:t>adults</w:t>
      </w:r>
      <w:r w:rsidRPr="00673D18">
        <w:rPr>
          <w:i/>
        </w:rPr>
        <w:t xml:space="preserve"> </w:t>
      </w:r>
      <w:r w:rsidRPr="00673D18">
        <w:t xml:space="preserve">with disabilities in the United States. </w:t>
      </w:r>
      <w:r w:rsidR="0033495B" w:rsidRPr="00A93870">
        <w:rPr>
          <w:rFonts w:eastAsiaTheme="minorHAnsi"/>
        </w:rPr>
        <w:t xml:space="preserve">The DHDS also provides data on disability-associated health care expenditures. </w:t>
      </w:r>
      <w:r w:rsidR="0033495B" w:rsidRPr="00600EAD">
        <w:rPr>
          <w:rFonts w:eastAsiaTheme="minorHAnsi"/>
        </w:rPr>
        <w:t xml:space="preserve">The data are available in several </w:t>
      </w:r>
      <w:r w:rsidR="0033495B" w:rsidRPr="00600EAD">
        <w:rPr>
          <w:rFonts w:eastAsiaTheme="minorHAnsi"/>
        </w:rPr>
        <w:lastRenderedPageBreak/>
        <w:t xml:space="preserve">formats, including standard contrast and high-contrast interactive maps and data tables that can be customized or downloaded. Users can easily identify location-specific data for a single year, for multiple years, and by state, territorial, division, regional, and national levels. For more information, go to </w:t>
      </w:r>
      <w:hyperlink r:id="rId11" w:history="1">
        <w:r w:rsidR="0033495B" w:rsidRPr="00600EAD">
          <w:rPr>
            <w:rStyle w:val="Hyperlink"/>
            <w:rFonts w:eastAsiaTheme="minorHAnsi" w:cs="Arial"/>
          </w:rPr>
          <w:t>http://dhds.cdc.gov</w:t>
        </w:r>
      </w:hyperlink>
    </w:p>
    <w:p w:rsidR="005B55B7" w:rsidRDefault="005B55B7" w:rsidP="005B55B7">
      <w:pPr>
        <w:pStyle w:val="Caption"/>
        <w:keepNext/>
      </w:pPr>
      <w:r w:rsidRPr="005B55B7">
        <w:t xml:space="preserve">Table: Disability Prevalence and the Need for Assistance by Age </w:t>
      </w:r>
      <w:r>
        <w:br/>
      </w:r>
      <w:r w:rsidRPr="005B55B7">
        <w:t>2010 National Estimates</w:t>
      </w:r>
      <w:r w:rsidRPr="00A2272D">
        <w:rPr>
          <w:rStyle w:val="FootnoteReference"/>
          <w:rFonts w:cs="Arial"/>
        </w:rPr>
        <w:footnoteReference w:id="4"/>
      </w:r>
    </w:p>
    <w:tbl>
      <w:tblPr>
        <w:tblStyle w:val="TableGrid"/>
        <w:tblW w:w="0" w:type="auto"/>
        <w:tblCellMar>
          <w:top w:w="14" w:type="dxa"/>
          <w:left w:w="115" w:type="dxa"/>
          <w:right w:w="115" w:type="dxa"/>
        </w:tblCellMar>
        <w:tblLook w:val="0620" w:firstRow="1" w:lastRow="0" w:firstColumn="0" w:lastColumn="0" w:noHBand="1" w:noVBand="1"/>
        <w:tblCaption w:val="Table: Disability Prevelance and the Need for Assistance by Age 2010 National Estimates"/>
        <w:tblDescription w:val="Percentages for Age, Any Disability, Severe Disability, and Needs Assistance "/>
      </w:tblPr>
      <w:tblGrid>
        <w:gridCol w:w="2358"/>
        <w:gridCol w:w="2430"/>
        <w:gridCol w:w="2430"/>
        <w:gridCol w:w="2340"/>
      </w:tblGrid>
      <w:tr w:rsidR="00391253" w:rsidRPr="00B26CE4" w:rsidTr="00391253">
        <w:trPr>
          <w:trHeight w:val="278"/>
          <w:tblHeader/>
        </w:trPr>
        <w:tc>
          <w:tcPr>
            <w:tcW w:w="2358" w:type="dxa"/>
          </w:tcPr>
          <w:p w:rsidR="00391253" w:rsidRPr="00A2272D" w:rsidRDefault="00391253" w:rsidP="00943244">
            <w:pPr>
              <w:rPr>
                <w:sz w:val="23"/>
                <w:szCs w:val="23"/>
              </w:rPr>
            </w:pPr>
            <w:r w:rsidRPr="00943244">
              <w:rPr>
                <w:rStyle w:val="Strong"/>
              </w:rPr>
              <w:t>Age</w:t>
            </w:r>
          </w:p>
        </w:tc>
        <w:tc>
          <w:tcPr>
            <w:tcW w:w="2430" w:type="dxa"/>
          </w:tcPr>
          <w:p w:rsidR="00391253" w:rsidRPr="00A2272D" w:rsidRDefault="00391253" w:rsidP="00943244">
            <w:r w:rsidRPr="00943244">
              <w:rPr>
                <w:rStyle w:val="Strong"/>
              </w:rPr>
              <w:t>Any Disability</w:t>
            </w:r>
          </w:p>
        </w:tc>
        <w:tc>
          <w:tcPr>
            <w:tcW w:w="2430" w:type="dxa"/>
          </w:tcPr>
          <w:p w:rsidR="00391253" w:rsidRPr="00A2272D" w:rsidRDefault="00391253" w:rsidP="00943244">
            <w:r w:rsidRPr="00943244">
              <w:rPr>
                <w:rStyle w:val="Strong"/>
              </w:rPr>
              <w:t>Severe Disability</w:t>
            </w:r>
          </w:p>
        </w:tc>
        <w:tc>
          <w:tcPr>
            <w:tcW w:w="2340" w:type="dxa"/>
          </w:tcPr>
          <w:p w:rsidR="00391253" w:rsidRPr="00A2272D" w:rsidRDefault="00391253" w:rsidP="00943244">
            <w:r w:rsidRPr="00943244">
              <w:rPr>
                <w:rStyle w:val="Strong"/>
              </w:rPr>
              <w:t>Needs Assistance</w:t>
            </w:r>
          </w:p>
        </w:tc>
      </w:tr>
      <w:tr w:rsidR="00A2272D" w:rsidRPr="00B26CE4" w:rsidTr="00391253">
        <w:trPr>
          <w:trHeight w:val="278"/>
        </w:trPr>
        <w:tc>
          <w:tcPr>
            <w:tcW w:w="2358" w:type="dxa"/>
          </w:tcPr>
          <w:p w:rsidR="00A2272D" w:rsidRPr="00A2272D" w:rsidRDefault="00A2272D" w:rsidP="00943244">
            <w:pPr>
              <w:rPr>
                <w:sz w:val="23"/>
                <w:szCs w:val="23"/>
              </w:rPr>
            </w:pPr>
            <w:r w:rsidRPr="00A2272D">
              <w:rPr>
                <w:sz w:val="23"/>
                <w:szCs w:val="23"/>
              </w:rPr>
              <w:t>Under age 15</w:t>
            </w:r>
          </w:p>
        </w:tc>
        <w:tc>
          <w:tcPr>
            <w:tcW w:w="2430" w:type="dxa"/>
          </w:tcPr>
          <w:p w:rsidR="00A2272D" w:rsidRPr="00A2272D" w:rsidRDefault="00A2272D" w:rsidP="00943244">
            <w:r w:rsidRPr="00A2272D">
              <w:t>8.4%</w:t>
            </w:r>
          </w:p>
        </w:tc>
        <w:tc>
          <w:tcPr>
            <w:tcW w:w="2430" w:type="dxa"/>
          </w:tcPr>
          <w:p w:rsidR="00A2272D" w:rsidRPr="00A2272D" w:rsidRDefault="00A2272D" w:rsidP="00943244">
            <w:r w:rsidRPr="00A2272D">
              <w:t>4.2%</w:t>
            </w:r>
          </w:p>
        </w:tc>
        <w:tc>
          <w:tcPr>
            <w:tcW w:w="2340" w:type="dxa"/>
          </w:tcPr>
          <w:p w:rsidR="00A2272D" w:rsidRPr="00A2272D" w:rsidRDefault="00A2272D" w:rsidP="00943244">
            <w:r w:rsidRPr="00A2272D">
              <w:t>0.5%</w:t>
            </w:r>
          </w:p>
        </w:tc>
      </w:tr>
      <w:tr w:rsidR="00A2272D" w:rsidRPr="00B26CE4" w:rsidTr="00391253">
        <w:trPr>
          <w:trHeight w:val="242"/>
        </w:trPr>
        <w:tc>
          <w:tcPr>
            <w:tcW w:w="2358" w:type="dxa"/>
          </w:tcPr>
          <w:p w:rsidR="00A2272D" w:rsidRPr="00484489" w:rsidRDefault="00A2272D" w:rsidP="00943244">
            <w:pPr>
              <w:rPr>
                <w:sz w:val="23"/>
                <w:szCs w:val="23"/>
              </w:rPr>
            </w:pPr>
            <w:r w:rsidRPr="00A2272D">
              <w:rPr>
                <w:sz w:val="23"/>
                <w:szCs w:val="23"/>
              </w:rPr>
              <w:t>15 to 24</w:t>
            </w:r>
          </w:p>
        </w:tc>
        <w:tc>
          <w:tcPr>
            <w:tcW w:w="2430" w:type="dxa"/>
          </w:tcPr>
          <w:p w:rsidR="00A2272D" w:rsidRPr="00A2272D" w:rsidRDefault="00A2272D" w:rsidP="00943244">
            <w:r>
              <w:t>10.2</w:t>
            </w:r>
            <w:r w:rsidR="00CF6D27">
              <w:t>%</w:t>
            </w:r>
          </w:p>
        </w:tc>
        <w:tc>
          <w:tcPr>
            <w:tcW w:w="2430" w:type="dxa"/>
          </w:tcPr>
          <w:p w:rsidR="00A2272D" w:rsidRPr="00A2272D" w:rsidRDefault="00A2272D" w:rsidP="00943244">
            <w:r w:rsidRPr="00A2272D">
              <w:t>5.3%</w:t>
            </w:r>
          </w:p>
        </w:tc>
        <w:tc>
          <w:tcPr>
            <w:tcW w:w="2340" w:type="dxa"/>
          </w:tcPr>
          <w:p w:rsidR="00A2272D" w:rsidRPr="00A2272D" w:rsidRDefault="00A2272D" w:rsidP="00943244">
            <w:r w:rsidRPr="00A2272D">
              <w:t>1.4%</w:t>
            </w:r>
          </w:p>
        </w:tc>
      </w:tr>
      <w:tr w:rsidR="00A2272D" w:rsidRPr="00B26CE4" w:rsidTr="00391253">
        <w:trPr>
          <w:trHeight w:val="102"/>
        </w:trPr>
        <w:tc>
          <w:tcPr>
            <w:tcW w:w="2358" w:type="dxa"/>
          </w:tcPr>
          <w:p w:rsidR="00A2272D" w:rsidRPr="00A2272D" w:rsidRDefault="00A2272D" w:rsidP="00943244">
            <w:r w:rsidRPr="00A2272D">
              <w:t>25 to 44</w:t>
            </w:r>
          </w:p>
        </w:tc>
        <w:tc>
          <w:tcPr>
            <w:tcW w:w="2430" w:type="dxa"/>
          </w:tcPr>
          <w:p w:rsidR="00A2272D" w:rsidRPr="00A2272D" w:rsidRDefault="00A2272D" w:rsidP="00943244">
            <w:r w:rsidRPr="00A2272D">
              <w:t>11.0</w:t>
            </w:r>
            <w:r w:rsidR="00CF6D27">
              <w:t>%</w:t>
            </w:r>
          </w:p>
        </w:tc>
        <w:tc>
          <w:tcPr>
            <w:tcW w:w="2430" w:type="dxa"/>
          </w:tcPr>
          <w:p w:rsidR="00A2272D" w:rsidRPr="00A2272D" w:rsidRDefault="00A2272D" w:rsidP="00943244">
            <w:r w:rsidRPr="00A2272D">
              <w:t>7.3</w:t>
            </w:r>
            <w:r w:rsidR="00CF6D27">
              <w:t>%</w:t>
            </w:r>
          </w:p>
        </w:tc>
        <w:tc>
          <w:tcPr>
            <w:tcW w:w="2340" w:type="dxa"/>
          </w:tcPr>
          <w:p w:rsidR="00A2272D" w:rsidRPr="00A2272D" w:rsidRDefault="00A2272D" w:rsidP="00943244">
            <w:r w:rsidRPr="00A2272D">
              <w:t>2.0</w:t>
            </w:r>
            <w:r w:rsidR="00CF6D27">
              <w:t>%</w:t>
            </w:r>
          </w:p>
        </w:tc>
      </w:tr>
      <w:tr w:rsidR="00A2272D" w:rsidRPr="00B26CE4" w:rsidTr="00391253">
        <w:trPr>
          <w:trHeight w:val="260"/>
        </w:trPr>
        <w:tc>
          <w:tcPr>
            <w:tcW w:w="2358" w:type="dxa"/>
          </w:tcPr>
          <w:p w:rsidR="00A2272D" w:rsidRPr="00A2272D" w:rsidRDefault="00A2272D" w:rsidP="00943244">
            <w:pPr>
              <w:rPr>
                <w:highlight w:val="yellow"/>
              </w:rPr>
            </w:pPr>
            <w:r w:rsidRPr="00A2272D">
              <w:t>45</w:t>
            </w:r>
            <w:r>
              <w:t xml:space="preserve"> to </w:t>
            </w:r>
            <w:r w:rsidRPr="00A2272D">
              <w:t>54</w:t>
            </w:r>
          </w:p>
        </w:tc>
        <w:tc>
          <w:tcPr>
            <w:tcW w:w="2430" w:type="dxa"/>
          </w:tcPr>
          <w:p w:rsidR="00A2272D" w:rsidRPr="00A2272D" w:rsidRDefault="00A2272D" w:rsidP="00943244">
            <w:pPr>
              <w:rPr>
                <w:highlight w:val="yellow"/>
              </w:rPr>
            </w:pPr>
            <w:r w:rsidRPr="00A2272D">
              <w:t>19.7</w:t>
            </w:r>
            <w:r w:rsidR="00CF6D27">
              <w:t>%</w:t>
            </w:r>
          </w:p>
        </w:tc>
        <w:tc>
          <w:tcPr>
            <w:tcW w:w="2430" w:type="dxa"/>
          </w:tcPr>
          <w:p w:rsidR="00A2272D" w:rsidRPr="00A2272D" w:rsidRDefault="00A2272D" w:rsidP="00943244">
            <w:pPr>
              <w:rPr>
                <w:highlight w:val="yellow"/>
              </w:rPr>
            </w:pPr>
            <w:r w:rsidRPr="00A2272D">
              <w:t>13.8</w:t>
            </w:r>
            <w:r w:rsidR="00CF6D27">
              <w:t>%</w:t>
            </w:r>
          </w:p>
        </w:tc>
        <w:tc>
          <w:tcPr>
            <w:tcW w:w="2340" w:type="dxa"/>
          </w:tcPr>
          <w:p w:rsidR="00A2272D" w:rsidRPr="00A2272D" w:rsidRDefault="00A2272D" w:rsidP="00943244">
            <w:pPr>
              <w:rPr>
                <w:highlight w:val="yellow"/>
              </w:rPr>
            </w:pPr>
            <w:r w:rsidRPr="00A2272D">
              <w:t>3.6</w:t>
            </w:r>
            <w:r w:rsidR="00CF6D27">
              <w:t>%</w:t>
            </w:r>
          </w:p>
        </w:tc>
      </w:tr>
      <w:tr w:rsidR="00A2272D" w:rsidRPr="00B26CE4" w:rsidTr="00391253">
        <w:trPr>
          <w:trHeight w:val="242"/>
        </w:trPr>
        <w:tc>
          <w:tcPr>
            <w:tcW w:w="2358" w:type="dxa"/>
          </w:tcPr>
          <w:p w:rsidR="00A2272D" w:rsidRPr="00A2272D" w:rsidRDefault="00A2272D" w:rsidP="00943244">
            <w:r w:rsidRPr="00A2272D">
              <w:t xml:space="preserve">55 to 64 </w:t>
            </w:r>
          </w:p>
        </w:tc>
        <w:tc>
          <w:tcPr>
            <w:tcW w:w="2430" w:type="dxa"/>
          </w:tcPr>
          <w:p w:rsidR="00A2272D" w:rsidRPr="00A2272D" w:rsidRDefault="00A2272D" w:rsidP="00943244">
            <w:r w:rsidRPr="00A2272D">
              <w:t>28.7</w:t>
            </w:r>
            <w:r w:rsidR="00CF6D27">
              <w:t>%</w:t>
            </w:r>
          </w:p>
        </w:tc>
        <w:tc>
          <w:tcPr>
            <w:tcW w:w="2430" w:type="dxa"/>
          </w:tcPr>
          <w:p w:rsidR="00A2272D" w:rsidRPr="00A2272D" w:rsidRDefault="00A2272D" w:rsidP="00943244">
            <w:r w:rsidRPr="00A2272D">
              <w:t>20.4</w:t>
            </w:r>
            <w:r w:rsidR="00CF6D27">
              <w:t>%</w:t>
            </w:r>
          </w:p>
        </w:tc>
        <w:tc>
          <w:tcPr>
            <w:tcW w:w="2340" w:type="dxa"/>
          </w:tcPr>
          <w:p w:rsidR="00A2272D" w:rsidRPr="00A2272D" w:rsidRDefault="00A2272D" w:rsidP="00943244">
            <w:r w:rsidRPr="00A2272D">
              <w:t>6.0</w:t>
            </w:r>
            <w:r w:rsidR="00CF6D27">
              <w:t>%</w:t>
            </w:r>
          </w:p>
        </w:tc>
      </w:tr>
      <w:tr w:rsidR="00A2272D" w:rsidRPr="00B26CE4" w:rsidTr="00391253">
        <w:trPr>
          <w:trHeight w:val="219"/>
        </w:trPr>
        <w:tc>
          <w:tcPr>
            <w:tcW w:w="2358" w:type="dxa"/>
          </w:tcPr>
          <w:p w:rsidR="00A2272D" w:rsidRPr="00A2272D" w:rsidRDefault="00A2272D" w:rsidP="00943244">
            <w:r>
              <w:t>65 to 69</w:t>
            </w:r>
          </w:p>
        </w:tc>
        <w:tc>
          <w:tcPr>
            <w:tcW w:w="2430" w:type="dxa"/>
          </w:tcPr>
          <w:p w:rsidR="00A2272D" w:rsidRPr="00A2272D" w:rsidRDefault="00A2272D" w:rsidP="00943244">
            <w:r w:rsidRPr="00A2272D">
              <w:t>35.0</w:t>
            </w:r>
            <w:r w:rsidR="00CF6D27">
              <w:t>%</w:t>
            </w:r>
          </w:p>
        </w:tc>
        <w:tc>
          <w:tcPr>
            <w:tcW w:w="2430" w:type="dxa"/>
          </w:tcPr>
          <w:p w:rsidR="00A2272D" w:rsidRPr="00A2272D" w:rsidRDefault="00A2272D" w:rsidP="00943244">
            <w:r w:rsidRPr="00A2272D">
              <w:t>24.7</w:t>
            </w:r>
            <w:r w:rsidR="00CF6D27">
              <w:t>%</w:t>
            </w:r>
          </w:p>
        </w:tc>
        <w:tc>
          <w:tcPr>
            <w:tcW w:w="2340" w:type="dxa"/>
          </w:tcPr>
          <w:p w:rsidR="00A2272D" w:rsidRPr="00A2272D" w:rsidRDefault="00A2272D" w:rsidP="00943244">
            <w:r w:rsidRPr="00A2272D">
              <w:t>6.9</w:t>
            </w:r>
            <w:r w:rsidR="00CF6D27">
              <w:t>%</w:t>
            </w:r>
          </w:p>
        </w:tc>
      </w:tr>
      <w:tr w:rsidR="00A2272D" w:rsidRPr="00B26CE4" w:rsidTr="00391253">
        <w:trPr>
          <w:trHeight w:val="278"/>
        </w:trPr>
        <w:tc>
          <w:tcPr>
            <w:tcW w:w="2358" w:type="dxa"/>
          </w:tcPr>
          <w:p w:rsidR="00A2272D" w:rsidRPr="00A2272D" w:rsidRDefault="00A2272D" w:rsidP="00943244">
            <w:r>
              <w:t>70 to 74</w:t>
            </w:r>
          </w:p>
        </w:tc>
        <w:tc>
          <w:tcPr>
            <w:tcW w:w="2430" w:type="dxa"/>
          </w:tcPr>
          <w:p w:rsidR="00A2272D" w:rsidRPr="00A2272D" w:rsidRDefault="00A2272D" w:rsidP="00943244">
            <w:r>
              <w:t>42.6</w:t>
            </w:r>
            <w:r w:rsidR="00CF6D27">
              <w:t>%</w:t>
            </w:r>
          </w:p>
        </w:tc>
        <w:tc>
          <w:tcPr>
            <w:tcW w:w="2430" w:type="dxa"/>
          </w:tcPr>
          <w:p w:rsidR="00A2272D" w:rsidRPr="00A2272D" w:rsidRDefault="00A2272D" w:rsidP="00943244">
            <w:r>
              <w:t>29.6</w:t>
            </w:r>
            <w:r w:rsidR="00CF6D27">
              <w:t>%</w:t>
            </w:r>
          </w:p>
        </w:tc>
        <w:tc>
          <w:tcPr>
            <w:tcW w:w="2340" w:type="dxa"/>
          </w:tcPr>
          <w:p w:rsidR="00A2272D" w:rsidRPr="00A2272D" w:rsidRDefault="00A2272D" w:rsidP="00943244">
            <w:r>
              <w:t>10.8</w:t>
            </w:r>
            <w:r w:rsidR="00CF6D27">
              <w:t>%</w:t>
            </w:r>
          </w:p>
        </w:tc>
      </w:tr>
      <w:tr w:rsidR="00A2272D" w:rsidRPr="00B26CE4" w:rsidTr="00391253">
        <w:trPr>
          <w:trHeight w:val="242"/>
        </w:trPr>
        <w:tc>
          <w:tcPr>
            <w:tcW w:w="2358" w:type="dxa"/>
          </w:tcPr>
          <w:p w:rsidR="00A2272D" w:rsidRPr="00A2272D" w:rsidRDefault="00A2272D" w:rsidP="00943244">
            <w:r>
              <w:t>75 to 79</w:t>
            </w:r>
          </w:p>
        </w:tc>
        <w:tc>
          <w:tcPr>
            <w:tcW w:w="2430" w:type="dxa"/>
          </w:tcPr>
          <w:p w:rsidR="00A2272D" w:rsidRPr="00A2272D" w:rsidRDefault="00A2272D" w:rsidP="00943244">
            <w:r>
              <w:t>53.6</w:t>
            </w:r>
            <w:r w:rsidR="00CF6D27">
              <w:t>%</w:t>
            </w:r>
          </w:p>
        </w:tc>
        <w:tc>
          <w:tcPr>
            <w:tcW w:w="2430" w:type="dxa"/>
          </w:tcPr>
          <w:p w:rsidR="00A2272D" w:rsidRPr="00A2272D" w:rsidRDefault="00A2272D" w:rsidP="00943244">
            <w:r>
              <w:t>37.5</w:t>
            </w:r>
            <w:r w:rsidR="00CF6D27">
              <w:t>%</w:t>
            </w:r>
          </w:p>
        </w:tc>
        <w:tc>
          <w:tcPr>
            <w:tcW w:w="2340" w:type="dxa"/>
          </w:tcPr>
          <w:p w:rsidR="00A2272D" w:rsidRPr="00A2272D" w:rsidRDefault="00A2272D" w:rsidP="00943244">
            <w:r>
              <w:t>15.4</w:t>
            </w:r>
            <w:r w:rsidR="00CF6D27">
              <w:t>%</w:t>
            </w:r>
          </w:p>
        </w:tc>
      </w:tr>
      <w:tr w:rsidR="00A2272D" w:rsidRPr="00B26CE4" w:rsidTr="00391253">
        <w:trPr>
          <w:trHeight w:val="201"/>
        </w:trPr>
        <w:tc>
          <w:tcPr>
            <w:tcW w:w="2358" w:type="dxa"/>
          </w:tcPr>
          <w:p w:rsidR="00A2272D" w:rsidRPr="00A2272D" w:rsidRDefault="00A2272D" w:rsidP="00943244">
            <w:r>
              <w:t>80 and over</w:t>
            </w:r>
          </w:p>
        </w:tc>
        <w:tc>
          <w:tcPr>
            <w:tcW w:w="2430" w:type="dxa"/>
          </w:tcPr>
          <w:p w:rsidR="00A2272D" w:rsidRPr="00A2272D" w:rsidRDefault="00A2272D" w:rsidP="00943244">
            <w:r>
              <w:t>70.5</w:t>
            </w:r>
            <w:r w:rsidR="00CF6D27">
              <w:t>%</w:t>
            </w:r>
          </w:p>
        </w:tc>
        <w:tc>
          <w:tcPr>
            <w:tcW w:w="2430" w:type="dxa"/>
          </w:tcPr>
          <w:p w:rsidR="00A2272D" w:rsidRPr="00A2272D" w:rsidRDefault="00A2272D" w:rsidP="00943244">
            <w:r>
              <w:t>55.8</w:t>
            </w:r>
            <w:r w:rsidR="00CF6D27">
              <w:t>%</w:t>
            </w:r>
          </w:p>
        </w:tc>
        <w:tc>
          <w:tcPr>
            <w:tcW w:w="2340" w:type="dxa"/>
          </w:tcPr>
          <w:p w:rsidR="00A2272D" w:rsidRPr="00A2272D" w:rsidRDefault="00A2272D" w:rsidP="00943244">
            <w:r>
              <w:t>30.2</w:t>
            </w:r>
            <w:r w:rsidR="00CF6D27">
              <w:t>%</w:t>
            </w:r>
          </w:p>
        </w:tc>
      </w:tr>
    </w:tbl>
    <w:p w:rsidR="00A2272D" w:rsidRPr="00347541" w:rsidRDefault="00A2272D" w:rsidP="00531399">
      <w:pPr>
        <w:spacing w:after="120"/>
        <w:rPr>
          <w:rFonts w:cs="Arial"/>
          <w:color w:val="1F497D" w:themeColor="text2"/>
          <w:sz w:val="18"/>
          <w:szCs w:val="18"/>
        </w:rPr>
      </w:pPr>
    </w:p>
    <w:p w:rsidR="00600EAD" w:rsidRPr="003446EE" w:rsidRDefault="00993340" w:rsidP="005B55B7">
      <w:pPr>
        <w:pStyle w:val="Heading2"/>
      </w:pPr>
      <w:r w:rsidRPr="003446EE">
        <w:rPr>
          <w:color w:val="FFFFFF"/>
          <w:sz w:val="29"/>
          <w:szCs w:val="29"/>
        </w:rPr>
        <w:t xml:space="preserve"> </w:t>
      </w:r>
      <w:bookmarkStart w:id="7" w:name="_Toc403370663"/>
      <w:r w:rsidR="00266E19" w:rsidRPr="003446EE">
        <w:t>Affordable Care Act (ACA) Update</w:t>
      </w:r>
      <w:r w:rsidR="00266E19" w:rsidRPr="00BA1794">
        <w:rPr>
          <w:rStyle w:val="FootnoteReference"/>
          <w:rFonts w:ascii="Verdana" w:eastAsia="Times New Roman" w:hAnsi="Verdana" w:cs="Times New Roman"/>
          <w:b w:val="0"/>
          <w:bCs w:val="0"/>
          <w:kern w:val="36"/>
          <w:sz w:val="28"/>
          <w:szCs w:val="28"/>
        </w:rPr>
        <w:footnoteRef/>
      </w:r>
      <w:bookmarkEnd w:id="7"/>
    </w:p>
    <w:p w:rsidR="00266E19" w:rsidRDefault="00266E19" w:rsidP="005B55B7">
      <w:pPr>
        <w:rPr>
          <w:rFonts w:eastAsia="Times New Roman"/>
        </w:rPr>
      </w:pPr>
      <w:r w:rsidRPr="005F73F9">
        <w:rPr>
          <w:rFonts w:eastAsia="Times New Roman"/>
        </w:rPr>
        <w:t>The Affordable Care Act is providing better options, better value, better health, and a stronger Medicare program to the people of Montana by offering better options. Through the Health Insurance Marketplace</w:t>
      </w:r>
      <w:r>
        <w:rPr>
          <w:rFonts w:eastAsia="Times New Roman"/>
        </w:rPr>
        <w:t>, Montanans can</w:t>
      </w:r>
      <w:r w:rsidRPr="005F73F9">
        <w:rPr>
          <w:rFonts w:eastAsia="Times New Roman"/>
        </w:rPr>
        <w:t xml:space="preserve"> compare qualified health plans, get answers to questions, find out if they are eligible for lower costs for private insurance or health programs like Medicaid and the Children’s Health Insurance Program (CHIP), and enroll in health coverage.  </w:t>
      </w:r>
    </w:p>
    <w:p w:rsidR="00266E19" w:rsidRPr="005F73F9" w:rsidRDefault="00266E19" w:rsidP="005B55B7">
      <w:pPr>
        <w:rPr>
          <w:rFonts w:eastAsia="Times New Roman"/>
        </w:rPr>
      </w:pPr>
      <w:r w:rsidRPr="005F73F9">
        <w:rPr>
          <w:rFonts w:eastAsia="Times New Roman"/>
        </w:rPr>
        <w:t xml:space="preserve">At the end of the first annual open enrollment period, enrollment in the Marketplace surged </w:t>
      </w:r>
      <w:r>
        <w:rPr>
          <w:rFonts w:eastAsia="Times New Roman"/>
        </w:rPr>
        <w:t xml:space="preserve">to </w:t>
      </w:r>
      <w:r w:rsidRPr="005F73F9">
        <w:rPr>
          <w:rFonts w:eastAsia="Times New Roman"/>
        </w:rPr>
        <w:t>eight million people nationwide. In Montana alone, 36,584 individuals selected a Marketplace plan between October 1, 2013 and March 31, 2014 (including additional special enrollment period activity through April 19, 2014).</w:t>
      </w:r>
    </w:p>
    <w:p w:rsidR="00266E19" w:rsidRPr="00BA59D7" w:rsidRDefault="00266E19" w:rsidP="005B55B7">
      <w:pPr>
        <w:rPr>
          <w:rFonts w:eastAsia="Times New Roman"/>
        </w:rPr>
      </w:pPr>
      <w:r w:rsidRPr="005F73F9">
        <w:rPr>
          <w:rFonts w:eastAsia="Times New Roman"/>
        </w:rPr>
        <w:t>Of the 36,584 Montanans who selected a plan:</w:t>
      </w:r>
    </w:p>
    <w:p w:rsidR="00266E19" w:rsidRPr="005B55B7" w:rsidRDefault="00266E19" w:rsidP="00F9158C">
      <w:pPr>
        <w:pStyle w:val="ListParagraph"/>
        <w:numPr>
          <w:ilvl w:val="0"/>
          <w:numId w:val="16"/>
        </w:numPr>
        <w:rPr>
          <w:rFonts w:eastAsia="Times New Roman"/>
        </w:rPr>
      </w:pPr>
      <w:r w:rsidRPr="005B55B7">
        <w:rPr>
          <w:rFonts w:eastAsia="Times New Roman"/>
        </w:rPr>
        <w:t xml:space="preserve">53% are female and 47% are male; </w:t>
      </w:r>
    </w:p>
    <w:p w:rsidR="00266E19" w:rsidRPr="005B55B7" w:rsidRDefault="00266E19" w:rsidP="00F9158C">
      <w:pPr>
        <w:pStyle w:val="ListParagraph"/>
        <w:numPr>
          <w:ilvl w:val="0"/>
          <w:numId w:val="16"/>
        </w:numPr>
        <w:rPr>
          <w:rFonts w:eastAsia="Times New Roman"/>
        </w:rPr>
      </w:pPr>
      <w:r w:rsidRPr="005B55B7">
        <w:rPr>
          <w:rFonts w:eastAsia="Times New Roman"/>
        </w:rPr>
        <w:t>34% are under age 35;</w:t>
      </w:r>
    </w:p>
    <w:p w:rsidR="00266E19" w:rsidRPr="005B55B7" w:rsidRDefault="00266E19" w:rsidP="00F9158C">
      <w:pPr>
        <w:pStyle w:val="ListParagraph"/>
        <w:numPr>
          <w:ilvl w:val="0"/>
          <w:numId w:val="16"/>
        </w:numPr>
        <w:rPr>
          <w:rFonts w:eastAsia="Times New Roman"/>
        </w:rPr>
      </w:pPr>
      <w:r w:rsidRPr="005B55B7">
        <w:rPr>
          <w:rFonts w:eastAsia="Times New Roman"/>
        </w:rPr>
        <w:t>28% are between the ages of 18 and 34;</w:t>
      </w:r>
    </w:p>
    <w:p w:rsidR="00266E19" w:rsidRPr="005B55B7" w:rsidRDefault="00266E19" w:rsidP="00F9158C">
      <w:pPr>
        <w:pStyle w:val="ListParagraph"/>
        <w:numPr>
          <w:ilvl w:val="0"/>
          <w:numId w:val="16"/>
        </w:numPr>
        <w:rPr>
          <w:rFonts w:eastAsia="Times New Roman"/>
        </w:rPr>
      </w:pPr>
      <w:r w:rsidRPr="005B55B7">
        <w:rPr>
          <w:rFonts w:eastAsia="Times New Roman"/>
        </w:rPr>
        <w:t>56% selected a Silver plan, while 27% selected a Bronze plan; and,</w:t>
      </w:r>
    </w:p>
    <w:p w:rsidR="00266E19" w:rsidRPr="005B55B7" w:rsidRDefault="00266E19" w:rsidP="00F9158C">
      <w:pPr>
        <w:pStyle w:val="ListParagraph"/>
        <w:numPr>
          <w:ilvl w:val="0"/>
          <w:numId w:val="16"/>
        </w:numPr>
        <w:rPr>
          <w:rFonts w:eastAsia="Times New Roman"/>
        </w:rPr>
      </w:pPr>
      <w:r w:rsidRPr="005B55B7">
        <w:rPr>
          <w:rFonts w:eastAsia="Times New Roman"/>
        </w:rPr>
        <w:t>86% selected a plan with financial assistance.</w:t>
      </w:r>
    </w:p>
    <w:p w:rsidR="00600EAD" w:rsidRDefault="00266E19" w:rsidP="005B55B7">
      <w:pPr>
        <w:rPr>
          <w:rFonts w:eastAsia="Times New Roman"/>
        </w:rPr>
      </w:pPr>
      <w:r w:rsidRPr="00482740">
        <w:rPr>
          <w:rFonts w:eastAsia="Times New Roman"/>
        </w:rPr>
        <w:t>Although open enrollment for 2014 coverage is over, the nex</w:t>
      </w:r>
      <w:r>
        <w:rPr>
          <w:rFonts w:eastAsia="Times New Roman"/>
        </w:rPr>
        <w:t xml:space="preserve">t open enrollment period begins </w:t>
      </w:r>
      <w:r w:rsidRPr="00482740">
        <w:rPr>
          <w:rFonts w:eastAsia="Times New Roman"/>
        </w:rPr>
        <w:t xml:space="preserve">on November 15, 2014 for coverage that can begin as early as January 1, 2015.  </w:t>
      </w:r>
    </w:p>
    <w:p w:rsidR="00266E19" w:rsidRPr="00482740" w:rsidRDefault="00266E19" w:rsidP="005B55B7">
      <w:pPr>
        <w:rPr>
          <w:rFonts w:eastAsia="Times New Roman"/>
        </w:rPr>
      </w:pPr>
      <w:r w:rsidRPr="00482740">
        <w:rPr>
          <w:rFonts w:eastAsia="Times New Roman"/>
        </w:rPr>
        <w:lastRenderedPageBreak/>
        <w:t>Montana has received $1,000,000 in grants for research, planning, information technology development, and implementation of its Marketplace. </w:t>
      </w:r>
    </w:p>
    <w:p w:rsidR="00746BF7" w:rsidRPr="005C717A" w:rsidRDefault="00B655D7" w:rsidP="005C717A">
      <w:pPr>
        <w:rPr>
          <w:rStyle w:val="Strong"/>
        </w:rPr>
      </w:pPr>
      <w:hyperlink r:id="rId12" w:anchor="part=3" w:history="1">
        <w:r w:rsidR="00266E19" w:rsidRPr="005C717A">
          <w:rPr>
            <w:rStyle w:val="Strong"/>
          </w:rPr>
          <w:t>Medicaid</w:t>
        </w:r>
      </w:hyperlink>
    </w:p>
    <w:p w:rsidR="00266E19" w:rsidRDefault="00266E19" w:rsidP="00746BF7">
      <w:pPr>
        <w:spacing w:after="160"/>
        <w:ind w:right="-432"/>
        <w:rPr>
          <w:rFonts w:eastAsia="Times New Roman" w:cs="Arial"/>
        </w:rPr>
      </w:pPr>
      <w:r w:rsidRPr="005F73F9">
        <w:rPr>
          <w:rFonts w:eastAsia="Times New Roman" w:cs="Arial"/>
        </w:rPr>
        <w:t>Enrollment in Medicaid and CHIP is open year round.  An additional 14,132 Montanans enrolled in Medicaid and CHIP through the end of March 2014</w:t>
      </w:r>
      <w:r>
        <w:rPr>
          <w:rFonts w:eastAsia="Times New Roman" w:cs="Arial"/>
        </w:rPr>
        <w:t xml:space="preserve">. </w:t>
      </w:r>
      <w:r w:rsidRPr="005F73F9">
        <w:rPr>
          <w:rFonts w:eastAsia="Times New Roman" w:cs="Arial"/>
        </w:rPr>
        <w:t>Twenty-six states and Washington, D.C. have expanded Medicaid so far, with the federal government providing 100 percent of the funds for the newly eligible population for the next three years, and never less than 90 percent after that. Montana has not taken advantage of the new opportunity to expand Medicaid coverage under the Affordable Care Act.</w:t>
      </w:r>
    </w:p>
    <w:p w:rsidR="00746BF7" w:rsidRPr="005C717A" w:rsidRDefault="00266E19" w:rsidP="005C717A">
      <w:pPr>
        <w:rPr>
          <w:rStyle w:val="Strong"/>
        </w:rPr>
      </w:pPr>
      <w:r w:rsidRPr="005C717A">
        <w:rPr>
          <w:rStyle w:val="Strong"/>
        </w:rPr>
        <w:t>Mental Health</w:t>
      </w:r>
    </w:p>
    <w:p w:rsidR="00266E19" w:rsidRDefault="00C47521" w:rsidP="007D34DD">
      <w:pPr>
        <w:spacing w:after="160"/>
        <w:rPr>
          <w:rFonts w:eastAsia="Times New Roman" w:cs="Arial"/>
        </w:rPr>
      </w:pPr>
      <w:r>
        <w:rPr>
          <w:rFonts w:eastAsia="Times New Roman" w:cs="Arial"/>
        </w:rPr>
        <w:t>T</w:t>
      </w:r>
      <w:r w:rsidR="00266E19" w:rsidRPr="005F73F9">
        <w:rPr>
          <w:rFonts w:eastAsia="Times New Roman" w:cs="Arial"/>
        </w:rPr>
        <w:t>he Affordable Care Act increases access to comprehensive coverage by requiring most health plans to cover ten essential health benefit categories, to include hospitalization, prescription drugs, maternity and newborn care, and mental health and substance use disorder services.  The health care law expands mental health and substance use disorder benefits and federal parity protections for 62 million Americans nationwide, including 251,912 Montanans.</w:t>
      </w:r>
    </w:p>
    <w:p w:rsidR="00746BF7" w:rsidRPr="005C717A" w:rsidRDefault="00B655D7" w:rsidP="005C717A">
      <w:pPr>
        <w:rPr>
          <w:rStyle w:val="Strong"/>
        </w:rPr>
      </w:pPr>
      <w:hyperlink r:id="rId13" w:history="1">
        <w:r w:rsidR="00266E19" w:rsidRPr="005C717A">
          <w:rPr>
            <w:rStyle w:val="Strong"/>
          </w:rPr>
          <w:t>New coverage options for young adults</w:t>
        </w:r>
      </w:hyperlink>
    </w:p>
    <w:p w:rsidR="00266E19" w:rsidRPr="005F73F9" w:rsidRDefault="00266E19" w:rsidP="00746BF7">
      <w:pPr>
        <w:spacing w:after="160"/>
        <w:rPr>
          <w:rFonts w:eastAsia="Times New Roman" w:cs="Arial"/>
        </w:rPr>
      </w:pPr>
      <w:r w:rsidRPr="005F73F9">
        <w:rPr>
          <w:rFonts w:eastAsia="Times New Roman" w:cs="Arial"/>
        </w:rPr>
        <w:t>Under the health care law, if your plan covers children, you can now add or keep your children on your health insurance policy until they turn 26 years old. Thanks to this provision, over 3 million young people who would otherwise have been uninsured have gained coverage nationwide, including 12,000 young adults in Montana.</w:t>
      </w:r>
    </w:p>
    <w:p w:rsidR="00BF43A9" w:rsidRPr="005C717A" w:rsidRDefault="00B655D7" w:rsidP="005C717A">
      <w:pPr>
        <w:rPr>
          <w:rStyle w:val="Strong"/>
        </w:rPr>
      </w:pPr>
      <w:hyperlink r:id="rId14" w:anchor="part=1" w:history="1">
        <w:r w:rsidR="00266E19" w:rsidRPr="005C717A">
          <w:rPr>
            <w:rStyle w:val="Strong"/>
          </w:rPr>
          <w:t>Ending discrimination for pre-existing conditions</w:t>
        </w:r>
      </w:hyperlink>
    </w:p>
    <w:p w:rsidR="00266E19" w:rsidRDefault="00266E19" w:rsidP="00BF43A9">
      <w:pPr>
        <w:spacing w:after="0"/>
        <w:rPr>
          <w:rFonts w:eastAsia="Times New Roman" w:cs="Arial"/>
        </w:rPr>
      </w:pPr>
      <w:r w:rsidRPr="005F73F9">
        <w:rPr>
          <w:rFonts w:eastAsia="Times New Roman" w:cs="Arial"/>
        </w:rPr>
        <w:t>As many as 426,361 non-elderly Montanans have some type of pre-existing health conditi</w:t>
      </w:r>
      <w:r>
        <w:rPr>
          <w:rFonts w:eastAsia="Times New Roman" w:cs="Arial"/>
        </w:rPr>
        <w:t>on, including 52,222 children. </w:t>
      </w:r>
      <w:r w:rsidRPr="005F73F9">
        <w:rPr>
          <w:rFonts w:eastAsia="Times New Roman" w:cs="Arial"/>
        </w:rPr>
        <w:t>Today, most insurers can no longer deny coverage to anyone because of a pre-existing condition, like asthma or diabetes, under the health care law.  And they can no longer charge women more because of their gender.</w:t>
      </w:r>
    </w:p>
    <w:p w:rsidR="00606F88" w:rsidRDefault="00B655D7" w:rsidP="00606F88">
      <w:pPr>
        <w:spacing w:before="120" w:after="0"/>
        <w:rPr>
          <w:rStyle w:val="Strong"/>
        </w:rPr>
        <w:sectPr w:rsidR="00606F88" w:rsidSect="00A07593">
          <w:pgSz w:w="12240" w:h="15840"/>
          <w:pgMar w:top="1440" w:right="1440" w:bottom="1440" w:left="1440" w:header="720" w:footer="720" w:gutter="0"/>
          <w:cols w:space="720"/>
          <w:docGrid w:linePitch="360"/>
        </w:sectPr>
      </w:pPr>
      <w:hyperlink r:id="rId15" w:history="1">
        <w:r w:rsidR="00813061" w:rsidRPr="005C717A">
          <w:rPr>
            <w:rStyle w:val="Strong"/>
          </w:rPr>
          <w:t>Providing better value for your premium dollar through the 80/20 Rule</w:t>
        </w:r>
      </w:hyperlink>
      <w:r w:rsidR="00816C7C" w:rsidRPr="002A6BBF">
        <w:rPr>
          <w:rStyle w:val="FootnoteReference"/>
          <w:rFonts w:ascii="Verdana" w:hAnsi="Verdana"/>
          <w:color w:val="5F497A" w:themeColor="accent4" w:themeShade="BF"/>
          <w:sz w:val="23"/>
          <w:szCs w:val="23"/>
        </w:rPr>
        <w:footnoteReference w:id="5"/>
      </w:r>
    </w:p>
    <w:p w:rsidR="00B01A4F" w:rsidRPr="00005CA3" w:rsidRDefault="00B01A4F" w:rsidP="00392383">
      <w:pPr>
        <w:pStyle w:val="Heading2"/>
        <w:rPr>
          <w:rFonts w:ascii="Times New Roman" w:eastAsia="Times New Roman" w:hAnsi="Times New Roman" w:cs="Times New Roman"/>
          <w:kern w:val="36"/>
          <w:sz w:val="48"/>
          <w:szCs w:val="48"/>
        </w:rPr>
      </w:pPr>
      <w:bookmarkStart w:id="8" w:name="_Toc403370664"/>
      <w:r w:rsidRPr="00392383">
        <w:lastRenderedPageBreak/>
        <w:t>Olmstead Plan</w:t>
      </w:r>
      <w:r w:rsidRPr="00B01A4F">
        <w:rPr>
          <w:rStyle w:val="FootnoteReference"/>
          <w:rFonts w:ascii="Times New Roman" w:eastAsia="Times New Roman" w:hAnsi="Times New Roman" w:cs="Times New Roman"/>
          <w:b w:val="0"/>
          <w:bCs w:val="0"/>
          <w:kern w:val="36"/>
          <w:sz w:val="24"/>
          <w:szCs w:val="24"/>
        </w:rPr>
        <w:footnoteReference w:id="6"/>
      </w:r>
      <w:bookmarkEnd w:id="8"/>
    </w:p>
    <w:p w:rsidR="00B01A4F" w:rsidRDefault="00B01A4F" w:rsidP="00BA59D7">
      <w:r w:rsidRPr="00570C04">
        <w:t xml:space="preserve">Olmstead is used here to describe the 1999 Supreme Court judgment in the case </w:t>
      </w:r>
      <w:r>
        <w:t>of Olmstead</w:t>
      </w:r>
      <w:r w:rsidRPr="00570C04">
        <w:t xml:space="preserve"> v. L.C. (US Supreme Court 1999). The case was brought against the Georgia State Commissioner of Human Resources (Tommy Olmstead) on behalf of two women with developmental disabilities (known as L.C. and E.W.) who were diagnosed with mental illness (schizophrenia and personality disorder respectively). They were voluntarily admitted to Georgia Regional Hospital for treatment in a psychiatric unit (Atlanta Legal Aid Society 2004). After some time, they indicated their preference for discharge and the professionals working with them assessed that they were ready to move into a community setting with appropriate support.</w:t>
      </w:r>
      <w:r>
        <w:t xml:space="preserve"> </w:t>
      </w:r>
    </w:p>
    <w:p w:rsidR="00B01A4F" w:rsidRDefault="00B01A4F" w:rsidP="00BA59D7">
      <w:r w:rsidRPr="00AE0B39">
        <w:t xml:space="preserve">However, they were not successfully discharged from </w:t>
      </w:r>
      <w:r>
        <w:t xml:space="preserve">the </w:t>
      </w:r>
      <w:r w:rsidRPr="00AE0B39">
        <w:t xml:space="preserve">hospital and in 1995 the Atlanta Legal Aid Society brought </w:t>
      </w:r>
      <w:r>
        <w:t xml:space="preserve">forth the </w:t>
      </w:r>
      <w:r w:rsidRPr="00AE0B39">
        <w:t xml:space="preserve">lawsuit </w:t>
      </w:r>
      <w:r>
        <w:t xml:space="preserve">that </w:t>
      </w:r>
      <w:r w:rsidRPr="00AE0B39">
        <w:t>was eventually heard by the Supreme Court. The Supreme Court ruled that under Title II of the Americans with Disabilities Act (ADA, 1990) the women had the right to receive care in the most integrated setting appropriate and that their unnecessary institutionalization was discriminatory and violated the ADA.</w:t>
      </w:r>
    </w:p>
    <w:p w:rsidR="00B01A4F" w:rsidRPr="00AE0B39" w:rsidRDefault="00B01A4F" w:rsidP="00BA59D7">
      <w:r w:rsidRPr="00AE0B39">
        <w:t>The Olmstead ruling provides an important clarification about how states should comply with Title II of the ADA. The ADA applies to all public bodies and to the use of public funds and therefore has implications for publicly-funded Medicaid services to people with disabilities (Rosenbaum and Teitelbaum 2004). The Olmstead decision confirmed that states must ensure that Medicaid-eligible persons do not experience discrimination by being institutionalized when they could be served in a more integrated (community) setting (Rosenbaum and Teitelbaum 2004). This obligation is sometimes known as the ADA 'integration mandate'.</w:t>
      </w:r>
    </w:p>
    <w:p w:rsidR="00B01A4F" w:rsidRPr="00AE0B39" w:rsidRDefault="00B01A4F" w:rsidP="00BA59D7">
      <w:r w:rsidRPr="00AE0B39">
        <w:t>The Supreme Court made limited recommendations for how states might ensure compliance with the ADA in light of Olmstead. The Court indicated that states should make 'reasonable accommodations' to their long-term care systems, but should not be required to make 'fundamental alterations'. It suggested that compliance might be demonstrated by 'comprehensive, effectively working plans' (Olmstead Plans) to increase community-based services and reduce institutionalization, and by ensuring that waiting lists for services move at a 'reasonable pace' (Smith and Calandrillo 2001). An analysis of rulings in community integration lawsuits after Olmstead has shown that lower courts have generally decided that "evidence of active engagement and slow progress" towards more community-integrated long-term care satisfies the ADA (Rosenbaum and Teitelbaum 2004).</w:t>
      </w:r>
    </w:p>
    <w:p w:rsidR="00B01A4F" w:rsidRPr="00EE4D23" w:rsidRDefault="00B01A4F" w:rsidP="00BA59D7">
      <w:r w:rsidRPr="00EE4D23">
        <w:t xml:space="preserve">The Olmstead ruling provides an important clarification about how states should comply with Title II of the ADA. The ADA applies to all public bodies and to the use of public funds and therefore has implications for publicly-funded Medicaid services to people with disabilities (Rosenbaum and Teitelbaum 2004). The Olmstead decision confirmed that states must ensure that Medicaid-eligible persons do not experience discrimination by being institutionalized when they could be served in a more integrated (community) setting (Rosenbaum and Teitelbaum 2004). This obligation is sometimes known as the ADA 'integration mandate'. </w:t>
      </w:r>
    </w:p>
    <w:p w:rsidR="00871FFB" w:rsidRPr="00871FFB" w:rsidRDefault="00871FFB" w:rsidP="004C29B2">
      <w:pPr>
        <w:pStyle w:val="Heading2"/>
        <w:rPr>
          <w:rFonts w:eastAsia="Times New Roman"/>
        </w:rPr>
      </w:pPr>
      <w:bookmarkStart w:id="9" w:name="_Toc403370665"/>
      <w:r w:rsidRPr="004C29B2">
        <w:lastRenderedPageBreak/>
        <w:t>Mone</w:t>
      </w:r>
      <w:r w:rsidR="008418AB" w:rsidRPr="004C29B2">
        <w:t xml:space="preserve">y Follows the Person: </w:t>
      </w:r>
      <w:r w:rsidRPr="004C29B2">
        <w:t xml:space="preserve">Expanding Options </w:t>
      </w:r>
      <w:r w:rsidR="008418AB" w:rsidRPr="004C29B2">
        <w:br/>
      </w:r>
      <w:r w:rsidRPr="004C29B2">
        <w:t>for Long-Term Care</w:t>
      </w:r>
      <w:r w:rsidRPr="00871FFB">
        <w:rPr>
          <w:rStyle w:val="FootnoteReference"/>
          <w:rFonts w:ascii="Verdana" w:eastAsia="Times New Roman" w:hAnsi="Verdana" w:cs="Arial"/>
          <w:bCs w:val="0"/>
          <w:i/>
          <w:color w:val="1F497D" w:themeColor="text2"/>
          <w:kern w:val="36"/>
          <w:sz w:val="28"/>
          <w:szCs w:val="28"/>
        </w:rPr>
        <w:footnoteReference w:id="7"/>
      </w:r>
      <w:bookmarkEnd w:id="9"/>
    </w:p>
    <w:p w:rsidR="00871FFB" w:rsidRPr="00871FFB" w:rsidRDefault="00871FFB" w:rsidP="00BA59D7">
      <w:pPr>
        <w:rPr>
          <w:rFonts w:eastAsia="Times New Roman"/>
        </w:rPr>
      </w:pPr>
      <w:r w:rsidRPr="00871FFB">
        <w:rPr>
          <w:rFonts w:eastAsia="Times New Roman"/>
        </w:rPr>
        <w:t>Many Americans who need long-term care services and supports would prefer to receive them in home- and community-based settings rather than in institutions. Often, decisions relating to the provision of long-term care services are dictated by what is reimbursable under federal and state Medicaid policy rather than by what an individual needs or wants.</w:t>
      </w:r>
    </w:p>
    <w:p w:rsidR="00871FFB" w:rsidRPr="00871FFB" w:rsidRDefault="00871FFB" w:rsidP="00BA59D7">
      <w:pPr>
        <w:rPr>
          <w:rFonts w:eastAsia="Times New Roman"/>
        </w:rPr>
      </w:pPr>
      <w:r w:rsidRPr="00871FFB">
        <w:rPr>
          <w:rFonts w:eastAsia="Times New Roman"/>
        </w:rPr>
        <w:t>The Money Follows the Person (MFP) Demonstration is a large federal initiative to help states reduce their reliance on institutional care for people needing long-term care, and expand options for elderly people and individuals with disabilities to receive care in the community. Funded at $4 billion over nine years, it is the largest demonstration program of its kind in the history of Medicaid. States use the grant funds to develop systems and services to help long-term residents of nursing facilities, intermediate care facilities for individuals with intellectual disabilities, and psychiatric hospitals who want to move back to home or community-based settings. They also are increasing efforts to shift Medicaid long-term care spending permanently toward community-based care and services.</w:t>
      </w:r>
    </w:p>
    <w:p w:rsidR="00871FFB" w:rsidRPr="00871FFB" w:rsidRDefault="00871FFB" w:rsidP="00BA59D7">
      <w:pPr>
        <w:rPr>
          <w:rFonts w:eastAsia="Times New Roman"/>
        </w:rPr>
      </w:pPr>
      <w:r w:rsidRPr="00871FFB">
        <w:rPr>
          <w:rFonts w:eastAsia="Times New Roman"/>
        </w:rPr>
        <w:t>Mathematica's comprehensive evaluation for the Centers for Medicare &amp; Medicaid Services (CMS) is assessing how state long-term care systems change to support the transition of people from institutions to the community, whether the changes were successful and sustainable, and to what extent MFP helps rebalance state long-term care spending. The evaluation is also analyzing the effects of MFP on Medicaid beneficiaries' health and quality of life, as well as identifying characteristics of individuals and state programs strongly associated with success.</w:t>
      </w:r>
    </w:p>
    <w:p w:rsidR="00871FFB" w:rsidRPr="00871FFB" w:rsidRDefault="00871FFB" w:rsidP="00BA59D7">
      <w:pPr>
        <w:rPr>
          <w:rFonts w:eastAsia="Times New Roman"/>
        </w:rPr>
      </w:pPr>
      <w:r w:rsidRPr="00871FFB">
        <w:rPr>
          <w:rFonts w:eastAsia="Times New Roman"/>
        </w:rPr>
        <w:t>As part of the project, Mathematica is also providing technical assistance to CMS and to state grantees. To date, Mathematica has supported CMS review of the detailed operational plans each demonstration program developed and created a web-based semi-annual reporting system in collaboration with Truven Health Analytics. Mathematica is now monitoring grantee progress toward benchmarks.</w:t>
      </w:r>
    </w:p>
    <w:p w:rsidR="00871FFB" w:rsidRPr="00871FFB" w:rsidRDefault="00871FFB" w:rsidP="00BA59D7">
      <w:r w:rsidRPr="00871FFB">
        <w:t xml:space="preserve">The Center for Studying Disability Policy was established in 2007 by Mathematica to inform disability policy formation with rigorous, objective research and data collected from the people disability policy aims to serve. The Center supplies the nation's policymakers with the information they need to navigate the transition to 21st-century disability policy. For over two decades, Mathematica has conducted many significant disability studies, including some of the first rigorous evaluations of employment supports for people with severe disabilities and the largest surveys of people with disabilities. More than 30 staff continues this pioneering work today through a wide range of innovative disability research and data collection. </w:t>
      </w:r>
    </w:p>
    <w:p w:rsidR="00871FFB" w:rsidRPr="00BA59D7" w:rsidRDefault="00871FFB" w:rsidP="00BA59D7">
      <w:r w:rsidRPr="00871FFB">
        <w:t xml:space="preserve">The Montana Disability and Health Program was awarded an </w:t>
      </w:r>
      <w:r w:rsidR="00BA59D7">
        <w:t>MFT grant In September of 2012.</w:t>
      </w:r>
    </w:p>
    <w:p w:rsidR="00BA59D7" w:rsidRDefault="00871FFB" w:rsidP="00BA59D7">
      <w:pPr>
        <w:pStyle w:val="Default"/>
        <w:rPr>
          <w:rFonts w:ascii="Arial" w:hAnsi="Arial" w:cs="Arial"/>
          <w:b/>
          <w:i/>
          <w:color w:val="7030A0"/>
          <w:sz w:val="26"/>
          <w:szCs w:val="26"/>
        </w:rPr>
      </w:pPr>
      <w:r w:rsidRPr="004C29B2">
        <w:rPr>
          <w:rStyle w:val="Strong"/>
        </w:rPr>
        <w:t>Basic Features of the MFP Program</w:t>
      </w:r>
      <w:r w:rsidRPr="00BB2E53">
        <w:rPr>
          <w:rStyle w:val="FootnoteReference"/>
          <w:rFonts w:ascii="Arial" w:hAnsi="Arial" w:cs="Arial"/>
          <w:b/>
          <w:i/>
          <w:color w:val="000000" w:themeColor="text1"/>
          <w:sz w:val="26"/>
          <w:szCs w:val="26"/>
        </w:rPr>
        <w:footnoteReference w:id="8"/>
      </w:r>
    </w:p>
    <w:p w:rsidR="00871FFB" w:rsidRPr="00BA59D7" w:rsidRDefault="00871FFB" w:rsidP="004C29B2">
      <w:pPr>
        <w:spacing w:before="120"/>
      </w:pPr>
      <w:r w:rsidRPr="00871FFB">
        <w:lastRenderedPageBreak/>
        <w:t>Each state in the MFP demonstration must establish a program that has two components: (1) a transition program that identifies Medicaid beneficiaries in institutional care who wish to live in the community and helps them do so, and (2) a rebalancing program that allows more Medicaid long-term care expenditures to flow to community services and supports. MFP programs (like Medicaid programs in general) are subject to general federal requirements, but the design and administration of each MFP program are uniqu</w:t>
      </w:r>
      <w:r w:rsidR="00BA59D7">
        <w:t xml:space="preserve">e and tailored to state needs. </w:t>
      </w:r>
    </w:p>
    <w:p w:rsidR="004C29B2" w:rsidRDefault="00871FFB" w:rsidP="00BA59D7">
      <w:pPr>
        <w:rPr>
          <w:rStyle w:val="Strong"/>
        </w:rPr>
      </w:pPr>
      <w:r w:rsidRPr="004C29B2">
        <w:rPr>
          <w:rStyle w:val="Strong"/>
        </w:rPr>
        <w:t>Transition programs</w:t>
      </w:r>
    </w:p>
    <w:p w:rsidR="00871FFB" w:rsidRPr="004C29B2" w:rsidRDefault="00871FFB" w:rsidP="00BA59D7">
      <w:pPr>
        <w:rPr>
          <w:b/>
          <w:bCs/>
        </w:rPr>
      </w:pPr>
      <w:r w:rsidRPr="00901DE3">
        <w:t>By statute, the MFP program is for people institutionalized in nursing homes, hospitals, intermediate care facilities for individuals with intellectual disabilities (ICFs/IID), or institutions for mental diseases (IMDs). Until the passage of the Affordable Care Act, MFP required participants to be institutionalized for a minimum of 180 days and they had to be eligible for full Medicaid benefits for at least a month before the transition to be eligible for the program. The Affordable Care Act reduced the length-of-stay requirement to 90 days, but states may not count any rehabilitative care days covered by Medicare.</w:t>
      </w:r>
    </w:p>
    <w:p w:rsidR="00871FFB" w:rsidRPr="00BA59D7" w:rsidRDefault="00871FFB" w:rsidP="00BA59D7">
      <w:r w:rsidRPr="00901DE3">
        <w:t xml:space="preserve">On the day they transition to the community, MFP participants begin receiving a package of home- and community-based services (HCBS) and federal matching payment for these services are financed by the state’s MFP grant funds. MFP- financed services continue for as many as 365 days after the date of transition. After exhausting their 365 days of eligibility for the MFP program, participants become regular Medicaid beneficiaries and receive HCBS through the state plan and/or a waiver program, depending on their </w:t>
      </w:r>
      <w:r w:rsidR="00BA59D7">
        <w:t>eligibility for these services.</w:t>
      </w:r>
    </w:p>
    <w:p w:rsidR="00871FFB" w:rsidRPr="004C29B2" w:rsidRDefault="00871FFB" w:rsidP="004C29B2">
      <w:pPr>
        <w:rPr>
          <w:rStyle w:val="Strong"/>
        </w:rPr>
      </w:pPr>
      <w:r w:rsidRPr="004C29B2">
        <w:rPr>
          <w:rStyle w:val="Strong"/>
        </w:rPr>
        <w:t xml:space="preserve">State Grantee Progress toward MFP Goals </w:t>
      </w:r>
    </w:p>
    <w:p w:rsidR="00871FFB" w:rsidRPr="00BA59D7" w:rsidRDefault="00871FFB" w:rsidP="00BA59D7">
      <w:r w:rsidRPr="00901DE3">
        <w:t xml:space="preserve">The federal statute that created MFP requires state grantees to establish two sets of annual goals: </w:t>
      </w:r>
    </w:p>
    <w:p w:rsidR="00871FFB" w:rsidRPr="00BA59D7" w:rsidRDefault="00871FFB" w:rsidP="00F9158C">
      <w:pPr>
        <w:pStyle w:val="ListParagraph"/>
        <w:numPr>
          <w:ilvl w:val="0"/>
          <w:numId w:val="17"/>
        </w:numPr>
        <w:rPr>
          <w:szCs w:val="22"/>
        </w:rPr>
      </w:pPr>
      <w:r w:rsidRPr="00901DE3">
        <w:t>The number of institutionalized individuals that programs transition back to the commu</w:t>
      </w:r>
      <w:r w:rsidR="00BA59D7">
        <w:t xml:space="preserve">nity, by population group; and </w:t>
      </w:r>
    </w:p>
    <w:p w:rsidR="00901DE3" w:rsidRPr="00BA59D7" w:rsidRDefault="00871FFB" w:rsidP="00F9158C">
      <w:pPr>
        <w:pStyle w:val="ListParagraph"/>
        <w:numPr>
          <w:ilvl w:val="0"/>
          <w:numId w:val="17"/>
        </w:numPr>
      </w:pPr>
      <w:r w:rsidRPr="00901DE3">
        <w:t>An increase in total Medicaid expenditures on home and community-based services (HCBS) for all Medicaid enrollees. Both are important indicators of progress toward MFP’s overall aim: to enable more people with disabilities to receive long-term services and supports (LTSS) in home or community settings, if that is their preference.</w:t>
      </w:r>
    </w:p>
    <w:p w:rsidR="00871FFB" w:rsidRPr="004C29B2" w:rsidRDefault="00871FFB" w:rsidP="004C29B2">
      <w:pPr>
        <w:rPr>
          <w:rStyle w:val="Strong"/>
        </w:rPr>
      </w:pPr>
      <w:r w:rsidRPr="004C29B2">
        <w:rPr>
          <w:rStyle w:val="Strong"/>
        </w:rPr>
        <w:t>Transition Trends</w:t>
      </w:r>
    </w:p>
    <w:p w:rsidR="00871FFB" w:rsidRPr="00BA59D7" w:rsidRDefault="00871FFB" w:rsidP="00BA59D7">
      <w:r w:rsidRPr="00901DE3">
        <w:t xml:space="preserve">From the start of the MFP demonstration in January 2008 through December 2012, state grantees have transitioned more than 30,000 people from institutions to the community where they received LTSS. In 2012, the fifth full year of the MFP demonstration, both the cumulative and annual number of MFP transitions increased substantially over previous years (Figure II.1). A total of 9,185 individuals enrolled in MFP and transitioned to the community in 2012, bringing the number of people ever enrolled in MFP since it began in 2008 to 30,141 individuals. This figure represents a 53 percent increase in cumulative enrollment (19,728) since the end of </w:t>
      </w:r>
      <w:r w:rsidRPr="00901DE3">
        <w:lastRenderedPageBreak/>
        <w:t xml:space="preserve">2011. This growth rate sustains the strong upward trend in enrollment seen during each successive year of the program’s operation. </w:t>
      </w:r>
    </w:p>
    <w:p w:rsidR="00871FFB" w:rsidRPr="00BA59D7" w:rsidRDefault="00871FFB" w:rsidP="00BA59D7">
      <w:r w:rsidRPr="00901DE3">
        <w:t xml:space="preserve">MFP programs may provide up to three categories of services: (1) qualified HCBS, (2) demonstration HCBS, </w:t>
      </w:r>
      <w:r w:rsidR="00BA59D7">
        <w:t xml:space="preserve">and (3) supplemental services. </w:t>
      </w:r>
    </w:p>
    <w:p w:rsidR="00871FFB" w:rsidRPr="00BA59D7" w:rsidRDefault="00871FFB" w:rsidP="00BA59D7">
      <w:r w:rsidRPr="00901DE3">
        <w:t>Qualified HCBS are services that beneficiaries would have received regardless of their status as MFP participants, such as personal assistance services available through a 1915(c) wai</w:t>
      </w:r>
      <w:r w:rsidR="00BA59D7">
        <w:t xml:space="preserve">ver program or the state plan. </w:t>
      </w:r>
    </w:p>
    <w:p w:rsidR="00871FFB" w:rsidRPr="00BA59D7" w:rsidRDefault="00871FFB" w:rsidP="00BA59D7">
      <w:r w:rsidRPr="00901DE3">
        <w:t>Demonstration HCBS are either allowable Medicaid services not currently included in the state’s array of HCBS (such as assistive technologies) or qualified HCBS above what would be available to non-MFP Medicaid beneficiaries (s</w:t>
      </w:r>
      <w:r w:rsidR="00BA59D7">
        <w:t xml:space="preserve">uch as 24-hour personal care). </w:t>
      </w:r>
    </w:p>
    <w:p w:rsidR="00871FFB" w:rsidRPr="00BA59D7" w:rsidRDefault="00871FFB" w:rsidP="00BA59D7">
      <w:r w:rsidRPr="00901DE3">
        <w:t>MFP requires states to maintain needed services after participants leave the program as long as they maintain Medicaid eligibility, which means that demonstration HCBS tend to be short-term services that are needed to help peop</w:t>
      </w:r>
      <w:r w:rsidR="00BA59D7">
        <w:t xml:space="preserve">le adjust to community living. </w:t>
      </w:r>
    </w:p>
    <w:p w:rsidR="00871FFB" w:rsidRPr="00BA59D7" w:rsidRDefault="00871FFB" w:rsidP="00BA59D7">
      <w:r w:rsidRPr="00901DE3">
        <w:t xml:space="preserve">States may also provide supplemental services to MFP participants that are not typically reimbursable outside of waiver programs but facilitate an easier transition to a community setting (such as a trial visit to the </w:t>
      </w:r>
      <w:r w:rsidR="00BA59D7">
        <w:t xml:space="preserve">proposed community residence). </w:t>
      </w:r>
    </w:p>
    <w:p w:rsidR="00901DE3" w:rsidRDefault="00871FFB" w:rsidP="00BA59D7">
      <w:r w:rsidRPr="00901DE3">
        <w:t xml:space="preserve">States receive an enhancement to the Federal Medical Assistance Percentage (FMAP), which is drawn from their MFP grant funds, when they provide either qualified HCBS or demonstration HCBS. States receive the regular FMAP, which is also drawn from their MFP grant funds, when they provide supplemental services. In general, the MFP demonstration allows states to provide a richer mix of community services for a limited time to help facilitate a successful transition to </w:t>
      </w:r>
      <w:r w:rsidR="00BA59D7">
        <w:t>the community.</w:t>
      </w:r>
    </w:p>
    <w:p w:rsidR="00901DE3" w:rsidRPr="00901DE3" w:rsidRDefault="00901DE3" w:rsidP="00E37698">
      <w:pPr>
        <w:pStyle w:val="Default"/>
        <w:spacing w:line="276" w:lineRule="auto"/>
        <w:jc w:val="center"/>
        <w:rPr>
          <w:rFonts w:ascii="Arial" w:hAnsi="Arial" w:cs="Arial"/>
          <w:sz w:val="12"/>
          <w:szCs w:val="12"/>
        </w:rPr>
      </w:pPr>
      <w:r w:rsidRPr="00901DE3">
        <w:rPr>
          <w:rFonts w:ascii="Arial" w:hAnsi="Arial" w:cs="Arial"/>
          <w:noProof/>
          <w:sz w:val="22"/>
          <w:szCs w:val="22"/>
        </w:rPr>
        <w:drawing>
          <wp:inline distT="0" distB="0" distL="0" distR="0" wp14:anchorId="095A8C7D" wp14:editId="71CC5EF7">
            <wp:extent cx="4410075" cy="2960503"/>
            <wp:effectExtent l="0" t="0" r="0" b="0"/>
            <wp:docPr id="4" name="Picture 1" descr=" Federal Medical Assistance Percentage (FMAP)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410075" cy="2960503"/>
                    </a:xfrm>
                    <a:prstGeom prst="rect">
                      <a:avLst/>
                    </a:prstGeom>
                    <a:noFill/>
                    <a:ln w="9525">
                      <a:noFill/>
                      <a:miter lim="800000"/>
                      <a:headEnd/>
                      <a:tailEnd/>
                    </a:ln>
                  </pic:spPr>
                </pic:pic>
              </a:graphicData>
            </a:graphic>
          </wp:inline>
        </w:drawing>
      </w:r>
    </w:p>
    <w:p w:rsidR="00375983" w:rsidRPr="00941A01" w:rsidRDefault="00375983" w:rsidP="00375983">
      <w:pPr>
        <w:shd w:val="clear" w:color="auto" w:fill="FFFFFF"/>
        <w:spacing w:before="199" w:after="199" w:line="240" w:lineRule="auto"/>
        <w:jc w:val="center"/>
        <w:outlineLvl w:val="1"/>
        <w:rPr>
          <w:rFonts w:eastAsia="Times New Roman" w:cs="Arial"/>
          <w:b/>
          <w:bCs/>
          <w:i/>
          <w:color w:val="1F497D" w:themeColor="text2"/>
          <w:sz w:val="28"/>
          <w:szCs w:val="28"/>
        </w:rPr>
      </w:pPr>
      <w:bookmarkStart w:id="10" w:name="_Toc403370666"/>
      <w:r w:rsidRPr="00BA59D7">
        <w:rPr>
          <w:rStyle w:val="Heading2Char"/>
        </w:rPr>
        <w:lastRenderedPageBreak/>
        <w:t>Montana Medicaid</w:t>
      </w:r>
      <w:r w:rsidR="000D2256" w:rsidRPr="00BA59D7">
        <w:rPr>
          <w:rStyle w:val="FootnoteReference"/>
          <w:rFonts w:eastAsia="Times New Roman" w:cs="Arial"/>
          <w:b/>
          <w:bCs/>
          <w:i/>
          <w:color w:val="000000" w:themeColor="text1"/>
          <w:sz w:val="28"/>
          <w:szCs w:val="28"/>
        </w:rPr>
        <w:footnoteReference w:id="9"/>
      </w:r>
      <w:bookmarkEnd w:id="10"/>
    </w:p>
    <w:p w:rsidR="00375983" w:rsidRPr="00941A01" w:rsidRDefault="00375983" w:rsidP="00BA59D7">
      <w:pPr>
        <w:rPr>
          <w:rFonts w:eastAsia="Times New Roman"/>
        </w:rPr>
      </w:pPr>
      <w:r w:rsidRPr="00375983">
        <w:rPr>
          <w:rFonts w:eastAsia="Times New Roman"/>
          <w:bCs/>
        </w:rPr>
        <w:t>Medicaid</w:t>
      </w:r>
      <w:r w:rsidRPr="00464E04">
        <w:rPr>
          <w:rFonts w:eastAsia="Times New Roman"/>
          <w:b/>
          <w:bCs/>
        </w:rPr>
        <w:t xml:space="preserve"> </w:t>
      </w:r>
      <w:r w:rsidRPr="00941A01">
        <w:rPr>
          <w:rFonts w:eastAsia="Times New Roman"/>
        </w:rPr>
        <w:t>is health care coverag</w:t>
      </w:r>
      <w:r w:rsidR="000D2256">
        <w:rPr>
          <w:rFonts w:eastAsia="Times New Roman"/>
        </w:rPr>
        <w:t xml:space="preserve">e for some low-income Montanans administered </w:t>
      </w:r>
      <w:r w:rsidRPr="00941A01">
        <w:rPr>
          <w:rFonts w:eastAsia="Times New Roman"/>
        </w:rPr>
        <w:t>by the Montana Department of Public Health and Human Services (DPHHS).</w:t>
      </w:r>
    </w:p>
    <w:p w:rsidR="00375983" w:rsidRDefault="00375983" w:rsidP="00BA59D7">
      <w:pPr>
        <w:rPr>
          <w:rFonts w:eastAsia="Times New Roman"/>
        </w:rPr>
      </w:pPr>
      <w:r w:rsidRPr="00941A01">
        <w:rPr>
          <w:rFonts w:eastAsia="Times New Roman"/>
        </w:rPr>
        <w:t>To be eligible for Medicaid in Montana, you must meet income and resource limits. You must also fit into at least one of these groups:</w:t>
      </w:r>
    </w:p>
    <w:p w:rsidR="00375983" w:rsidRPr="00BA59D7" w:rsidRDefault="00375983" w:rsidP="00F9158C">
      <w:pPr>
        <w:pStyle w:val="ListParagraph"/>
        <w:numPr>
          <w:ilvl w:val="0"/>
          <w:numId w:val="18"/>
        </w:numPr>
        <w:rPr>
          <w:rFonts w:eastAsia="Times New Roman"/>
        </w:rPr>
      </w:pPr>
      <w:r w:rsidRPr="00BA59D7">
        <w:rPr>
          <w:rFonts w:eastAsia="Times New Roman"/>
        </w:rPr>
        <w:t>Families with dependent children</w:t>
      </w:r>
    </w:p>
    <w:p w:rsidR="00375983" w:rsidRPr="00BA59D7" w:rsidRDefault="00375983" w:rsidP="00F9158C">
      <w:pPr>
        <w:pStyle w:val="ListParagraph"/>
        <w:numPr>
          <w:ilvl w:val="0"/>
          <w:numId w:val="18"/>
        </w:numPr>
        <w:rPr>
          <w:rFonts w:eastAsia="Times New Roman"/>
        </w:rPr>
      </w:pPr>
      <w:r w:rsidRPr="00BA59D7">
        <w:rPr>
          <w:rFonts w:eastAsia="Times New Roman"/>
        </w:rPr>
        <w:t>Pregnant women</w:t>
      </w:r>
    </w:p>
    <w:p w:rsidR="00375983" w:rsidRPr="00BA59D7" w:rsidRDefault="00375983" w:rsidP="00F9158C">
      <w:pPr>
        <w:pStyle w:val="ListParagraph"/>
        <w:numPr>
          <w:ilvl w:val="0"/>
          <w:numId w:val="18"/>
        </w:numPr>
        <w:rPr>
          <w:rFonts w:eastAsia="Times New Roman"/>
        </w:rPr>
      </w:pPr>
      <w:r w:rsidRPr="00BA59D7">
        <w:rPr>
          <w:rFonts w:eastAsia="Times New Roman"/>
        </w:rPr>
        <w:t>Children and youth up to age 19</w:t>
      </w:r>
    </w:p>
    <w:p w:rsidR="00375983" w:rsidRPr="00BA59D7" w:rsidRDefault="00375983" w:rsidP="00F9158C">
      <w:pPr>
        <w:pStyle w:val="ListParagraph"/>
        <w:numPr>
          <w:ilvl w:val="0"/>
          <w:numId w:val="18"/>
        </w:numPr>
        <w:rPr>
          <w:rFonts w:eastAsia="Times New Roman"/>
        </w:rPr>
      </w:pPr>
      <w:r w:rsidRPr="00BA59D7">
        <w:rPr>
          <w:rFonts w:eastAsia="Times New Roman"/>
        </w:rPr>
        <w:t>Women with breast or cervical cancer or pre-cancer</w:t>
      </w:r>
    </w:p>
    <w:p w:rsidR="00375983" w:rsidRPr="00BA59D7" w:rsidRDefault="00375983" w:rsidP="00F9158C">
      <w:pPr>
        <w:pStyle w:val="ListParagraph"/>
        <w:numPr>
          <w:ilvl w:val="0"/>
          <w:numId w:val="18"/>
        </w:numPr>
        <w:rPr>
          <w:rFonts w:eastAsia="Times New Roman"/>
        </w:rPr>
      </w:pPr>
      <w:r w:rsidRPr="00BA59D7">
        <w:rPr>
          <w:rFonts w:eastAsia="Times New Roman"/>
        </w:rPr>
        <w:t>People 65 and over</w:t>
      </w:r>
    </w:p>
    <w:p w:rsidR="00375983" w:rsidRPr="00BA59D7" w:rsidRDefault="00375983" w:rsidP="00F9158C">
      <w:pPr>
        <w:pStyle w:val="ListParagraph"/>
        <w:numPr>
          <w:ilvl w:val="0"/>
          <w:numId w:val="18"/>
        </w:numPr>
        <w:rPr>
          <w:rFonts w:eastAsia="Times New Roman"/>
        </w:rPr>
      </w:pPr>
      <w:r w:rsidRPr="00BA59D7">
        <w:rPr>
          <w:rFonts w:eastAsia="Times New Roman"/>
        </w:rPr>
        <w:t>People who are disabled (based on Social Security standards)</w:t>
      </w:r>
    </w:p>
    <w:p w:rsidR="00375983" w:rsidRPr="00BA59D7" w:rsidRDefault="00375983" w:rsidP="00F9158C">
      <w:pPr>
        <w:pStyle w:val="ListParagraph"/>
        <w:numPr>
          <w:ilvl w:val="0"/>
          <w:numId w:val="18"/>
        </w:numPr>
        <w:rPr>
          <w:rFonts w:eastAsia="Times New Roman"/>
        </w:rPr>
      </w:pPr>
      <w:r w:rsidRPr="00BA59D7">
        <w:rPr>
          <w:rFonts w:eastAsia="Times New Roman"/>
        </w:rPr>
        <w:t>Former foster care children age 18 up to 26</w:t>
      </w:r>
    </w:p>
    <w:p w:rsidR="00375983" w:rsidRDefault="00375983" w:rsidP="00BA59D7">
      <w:pPr>
        <w:rPr>
          <w:rFonts w:eastAsia="Times New Roman"/>
        </w:rPr>
      </w:pPr>
      <w:r w:rsidRPr="00BA59D7">
        <w:rPr>
          <w:rStyle w:val="Strong"/>
        </w:rPr>
        <w:t>The Healthy Montana Kids Plan</w:t>
      </w:r>
      <w:r w:rsidRPr="00941A01">
        <w:rPr>
          <w:rFonts w:eastAsia="Times New Roman"/>
        </w:rPr>
        <w:t xml:space="preserve"> is the program name for two health care coverage groups for children.  It is a free or low-cost health coverage plan for eligible Montana children up to age 19</w:t>
      </w:r>
      <w:r>
        <w:rPr>
          <w:rFonts w:eastAsia="Times New Roman"/>
        </w:rPr>
        <w:t>.</w:t>
      </w:r>
      <w:r w:rsidRPr="00941A01">
        <w:rPr>
          <w:rFonts w:eastAsia="Times New Roman"/>
        </w:rPr>
        <w:br/>
        <w:t>Healthy Montana Kids Plan groups are:</w:t>
      </w:r>
    </w:p>
    <w:p w:rsidR="00375983" w:rsidRPr="00E51E6A" w:rsidRDefault="00375983" w:rsidP="00F9158C">
      <w:pPr>
        <w:pStyle w:val="ListParagraph"/>
        <w:numPr>
          <w:ilvl w:val="0"/>
          <w:numId w:val="19"/>
        </w:numPr>
        <w:rPr>
          <w:szCs w:val="22"/>
        </w:rPr>
      </w:pPr>
      <w:r w:rsidRPr="00E51E6A">
        <w:rPr>
          <w:rStyle w:val="Strong"/>
          <w:szCs w:val="22"/>
        </w:rPr>
        <w:t>Healthy Montana Kids Plus</w:t>
      </w:r>
      <w:r w:rsidRPr="00E51E6A">
        <w:rPr>
          <w:rFonts w:eastAsia="Times New Roman"/>
          <w:szCs w:val="22"/>
        </w:rPr>
        <w:t xml:space="preserve"> coverage group (formerly </w:t>
      </w:r>
      <w:r w:rsidRPr="00E51E6A">
        <w:rPr>
          <w:szCs w:val="22"/>
        </w:rPr>
        <w:t>Montana Medicaid)</w:t>
      </w:r>
    </w:p>
    <w:p w:rsidR="00375983" w:rsidRPr="00E51E6A" w:rsidRDefault="00375983" w:rsidP="00E51E6A">
      <w:pPr>
        <w:pStyle w:val="ListParagraph"/>
        <w:numPr>
          <w:ilvl w:val="0"/>
          <w:numId w:val="0"/>
        </w:numPr>
        <w:ind w:left="1080"/>
        <w:rPr>
          <w:szCs w:val="22"/>
        </w:rPr>
      </w:pPr>
      <w:r w:rsidRPr="00E51E6A">
        <w:rPr>
          <w:szCs w:val="22"/>
        </w:rPr>
        <w:t xml:space="preserve">In 1965, Congress created the medical assistance program for low-income people, known as Medicaid.  This program pays the medical bills of people who meet certain income-based criteria, with the federal government and state governments sharing the costs. </w:t>
      </w:r>
    </w:p>
    <w:p w:rsidR="00375983" w:rsidRPr="00E51E6A" w:rsidRDefault="00375983" w:rsidP="00F9158C">
      <w:pPr>
        <w:pStyle w:val="ListParagraph"/>
        <w:numPr>
          <w:ilvl w:val="0"/>
          <w:numId w:val="19"/>
        </w:numPr>
        <w:rPr>
          <w:szCs w:val="22"/>
        </w:rPr>
      </w:pPr>
      <w:r w:rsidRPr="00E51E6A">
        <w:rPr>
          <w:szCs w:val="22"/>
        </w:rPr>
        <w:t xml:space="preserve">An average of </w:t>
      </w:r>
      <w:r w:rsidRPr="00E51E6A">
        <w:rPr>
          <w:rStyle w:val="Strong"/>
          <w:szCs w:val="22"/>
        </w:rPr>
        <w:t>81,600 Montanans</w:t>
      </w:r>
      <w:r w:rsidRPr="00E51E6A">
        <w:rPr>
          <w:szCs w:val="22"/>
        </w:rPr>
        <w:t xml:space="preserve"> were enrolled in Montana’s Medicaid program each month in state fiscal year (SFY) 2009, the most recent year for which full enrollment and spending figures are available.  About 60% were children.  Federal and state spending on medical benefits totaled about $844 million that year. In May of 2011, enrollment in the Montana Medicaid program had increased to </w:t>
      </w:r>
      <w:r w:rsidRPr="00E51E6A">
        <w:rPr>
          <w:b/>
          <w:color w:val="5F497A" w:themeColor="accent4" w:themeShade="BF"/>
          <w:szCs w:val="22"/>
        </w:rPr>
        <w:t>104,600</w:t>
      </w:r>
      <w:r w:rsidRPr="00E51E6A">
        <w:rPr>
          <w:szCs w:val="22"/>
        </w:rPr>
        <w:t xml:space="preserve"> Montana recipients.</w:t>
      </w:r>
    </w:p>
    <w:p w:rsidR="00BB2E53" w:rsidRDefault="00375983" w:rsidP="00E51E6A">
      <w:r w:rsidRPr="00034877">
        <w:t xml:space="preserve">Over the years, Montana has generally chosen to keep Medicaid eligibility guidelines in sync with or lower than those required by federal law and has rarely expanded the Medicaid program to cover additional people.  The state provides Medicaid coverage to able-bodied adults </w:t>
      </w:r>
      <w:r w:rsidRPr="00034877">
        <w:rPr>
          <w:i/>
        </w:rPr>
        <w:t>only</w:t>
      </w:r>
      <w:r w:rsidRPr="00034877">
        <w:t xml:space="preserve"> if the adults have dependent children and a very limited income. </w:t>
      </w:r>
    </w:p>
    <w:p w:rsidR="00375983" w:rsidRPr="00BB2E53" w:rsidRDefault="00375983" w:rsidP="00E51E6A">
      <w:bookmarkStart w:id="11" w:name="_Toc403370667"/>
      <w:r w:rsidRPr="00BB2E53">
        <w:rPr>
          <w:rStyle w:val="Heading3Char"/>
          <w:rFonts w:eastAsiaTheme="minorEastAsia"/>
        </w:rPr>
        <w:t>Medicaid Income Eligibility L</w:t>
      </w:r>
      <w:r w:rsidR="00541CFB" w:rsidRPr="00BB2E53">
        <w:rPr>
          <w:rStyle w:val="Heading3Char"/>
          <w:rFonts w:eastAsiaTheme="minorEastAsia"/>
        </w:rPr>
        <w:t>imits for Adults at Application</w:t>
      </w:r>
      <w:r w:rsidR="00DD4308" w:rsidRPr="00BB2E53">
        <w:rPr>
          <w:rStyle w:val="Heading3Char"/>
          <w:rFonts w:eastAsiaTheme="minorEastAsia"/>
        </w:rPr>
        <w:t xml:space="preserve"> by State</w:t>
      </w:r>
      <w:bookmarkEnd w:id="11"/>
      <w:r w:rsidRPr="00E51E6A">
        <w:rPr>
          <w:rStyle w:val="FootnoteReference"/>
          <w:rFonts w:cs="Arial"/>
          <w:b/>
          <w:color w:val="000000" w:themeColor="text1"/>
          <w:sz w:val="24"/>
          <w:szCs w:val="24"/>
        </w:rPr>
        <w:footnoteReference w:id="10"/>
      </w:r>
    </w:p>
    <w:p w:rsidR="007B0E83" w:rsidRDefault="008504E8" w:rsidP="00E51E6A">
      <w:r>
        <w:t xml:space="preserve">Three areas had eligibility limits over 200% of poverty: </w:t>
      </w:r>
    </w:p>
    <w:p w:rsidR="007B0E83" w:rsidRDefault="00853550" w:rsidP="00F9158C">
      <w:pPr>
        <w:pStyle w:val="ListParagraph"/>
        <w:numPr>
          <w:ilvl w:val="0"/>
          <w:numId w:val="23"/>
        </w:numPr>
      </w:pPr>
      <w:r w:rsidRPr="00513262">
        <w:t xml:space="preserve">The </w:t>
      </w:r>
      <w:r w:rsidRPr="00E51E6A">
        <w:rPr>
          <w:rStyle w:val="Strong"/>
        </w:rPr>
        <w:t>District of Columbia</w:t>
      </w:r>
      <w:r w:rsidR="008504E8" w:rsidRPr="00E51E6A">
        <w:rPr>
          <w:rStyle w:val="Strong"/>
        </w:rPr>
        <w:t>’s</w:t>
      </w:r>
      <w:r w:rsidRPr="00513262">
        <w:t xml:space="preserve"> </w:t>
      </w:r>
      <w:r w:rsidR="00513262" w:rsidRPr="00513262">
        <w:t>eligibility limit</w:t>
      </w:r>
      <w:r w:rsidR="008504E8">
        <w:t xml:space="preserve"> is</w:t>
      </w:r>
      <w:r w:rsidR="00513262" w:rsidRPr="00513262">
        <w:t xml:space="preserve"> </w:t>
      </w:r>
      <w:r w:rsidR="00BF43A9" w:rsidRPr="00E51E6A">
        <w:rPr>
          <w:rStyle w:val="Strong"/>
        </w:rPr>
        <w:t>221%</w:t>
      </w:r>
      <w:r w:rsidR="00BF43A9">
        <w:t xml:space="preserve"> </w:t>
      </w:r>
      <w:r w:rsidR="00513262" w:rsidRPr="00513262">
        <w:t>of poverty</w:t>
      </w:r>
      <w:r w:rsidR="008504E8">
        <w:t xml:space="preserve">; </w:t>
      </w:r>
    </w:p>
    <w:p w:rsidR="007B0E83" w:rsidRDefault="00853550" w:rsidP="00F9158C">
      <w:pPr>
        <w:pStyle w:val="ListParagraph"/>
        <w:numPr>
          <w:ilvl w:val="0"/>
          <w:numId w:val="23"/>
        </w:numPr>
      </w:pPr>
      <w:r w:rsidRPr="00E51E6A">
        <w:rPr>
          <w:rStyle w:val="Strong"/>
        </w:rPr>
        <w:lastRenderedPageBreak/>
        <w:t>Minnesota</w:t>
      </w:r>
      <w:r w:rsidR="008504E8" w:rsidRPr="00E51E6A">
        <w:rPr>
          <w:rStyle w:val="Strong"/>
        </w:rPr>
        <w:t>’s</w:t>
      </w:r>
      <w:r w:rsidRPr="00E51E6A">
        <w:rPr>
          <w:b/>
          <w:color w:val="7030A0"/>
        </w:rPr>
        <w:t xml:space="preserve"> </w:t>
      </w:r>
      <w:r w:rsidR="00513262" w:rsidRPr="00513262">
        <w:t xml:space="preserve">eligibility limit </w:t>
      </w:r>
      <w:r w:rsidR="008504E8">
        <w:t>is</w:t>
      </w:r>
      <w:r w:rsidR="00513262" w:rsidRPr="00513262">
        <w:t xml:space="preserve"> </w:t>
      </w:r>
      <w:r w:rsidR="00513262" w:rsidRPr="00E51E6A">
        <w:rPr>
          <w:rStyle w:val="Strong"/>
        </w:rPr>
        <w:t>2</w:t>
      </w:r>
      <w:r w:rsidR="00C55975" w:rsidRPr="00E51E6A">
        <w:rPr>
          <w:rStyle w:val="Strong"/>
        </w:rPr>
        <w:t>05</w:t>
      </w:r>
      <w:r w:rsidR="00513262" w:rsidRPr="00E51E6A">
        <w:rPr>
          <w:rStyle w:val="Strong"/>
        </w:rPr>
        <w:t>%</w:t>
      </w:r>
      <w:r w:rsidR="00513262">
        <w:t xml:space="preserve"> of poverty</w:t>
      </w:r>
      <w:r w:rsidR="008504E8">
        <w:t xml:space="preserve">; and </w:t>
      </w:r>
    </w:p>
    <w:p w:rsidR="008504E8" w:rsidRDefault="008504E8" w:rsidP="00F9158C">
      <w:pPr>
        <w:pStyle w:val="ListParagraph"/>
        <w:numPr>
          <w:ilvl w:val="0"/>
          <w:numId w:val="23"/>
        </w:numPr>
      </w:pPr>
      <w:r w:rsidRPr="00E51E6A">
        <w:rPr>
          <w:rStyle w:val="Strong"/>
        </w:rPr>
        <w:t>Connecticut’s</w:t>
      </w:r>
      <w:r>
        <w:t xml:space="preserve"> eligibility limit is </w:t>
      </w:r>
      <w:r w:rsidRPr="00E51E6A">
        <w:rPr>
          <w:rStyle w:val="Strong"/>
        </w:rPr>
        <w:t>201%</w:t>
      </w:r>
      <w:r>
        <w:t xml:space="preserve"> of poverty.  </w:t>
      </w:r>
    </w:p>
    <w:p w:rsidR="00513262" w:rsidRDefault="00513262" w:rsidP="00E51E6A">
      <w:r>
        <w:t>Twenty-</w:t>
      </w:r>
      <w:r w:rsidR="002D0E2D">
        <w:t>four</w:t>
      </w:r>
      <w:r w:rsidR="00BF43A9">
        <w:t xml:space="preserve"> states have</w:t>
      </w:r>
      <w:r>
        <w:t xml:space="preserve"> eligibility limit</w:t>
      </w:r>
      <w:r w:rsidR="00853550">
        <w:t xml:space="preserve">s of </w:t>
      </w:r>
      <w:r w:rsidR="00853550" w:rsidRPr="00BF43A9">
        <w:rPr>
          <w:b/>
          <w:i/>
          <w:color w:val="7030A0"/>
        </w:rPr>
        <w:t>138%</w:t>
      </w:r>
      <w:r w:rsidR="00853550">
        <w:t xml:space="preserve"> of poverty (Arizona, </w:t>
      </w:r>
      <w:r w:rsidR="002D0E2D">
        <w:t xml:space="preserve">Arkansas, </w:t>
      </w:r>
      <w:r w:rsidR="00853550">
        <w:t xml:space="preserve">California, Colorado, Delaware, Hawaii, Illinois, Iowa, Kentucky, Maryland, Massachusetts, Michigan, Nevada, New </w:t>
      </w:r>
      <w:r w:rsidR="002D0E2D">
        <w:t xml:space="preserve">Hampshire, New </w:t>
      </w:r>
      <w:r w:rsidR="00853550">
        <w:t>Jersey, New Mexico, New York, North Dakota, Ohio, Oregon, Rhode Island, Vermont, Washington, and West Virginia).</w:t>
      </w:r>
    </w:p>
    <w:p w:rsidR="007B0E83" w:rsidRPr="007B0E83" w:rsidRDefault="003352CA" w:rsidP="00E51E6A">
      <w:r>
        <w:t xml:space="preserve">Four </w:t>
      </w:r>
      <w:r w:rsidRPr="007B0E83">
        <w:t xml:space="preserve">states have eligibility limits between </w:t>
      </w:r>
      <w:r w:rsidRPr="00E51E6A">
        <w:rPr>
          <w:rStyle w:val="Strong"/>
        </w:rPr>
        <w:t>1</w:t>
      </w:r>
      <w:r w:rsidR="00A860FC" w:rsidRPr="00E51E6A">
        <w:rPr>
          <w:rStyle w:val="Strong"/>
        </w:rPr>
        <w:t>34%</w:t>
      </w:r>
      <w:r w:rsidR="00A860FC" w:rsidRPr="00A860FC">
        <w:rPr>
          <w:b/>
        </w:rPr>
        <w:t xml:space="preserve"> </w:t>
      </w:r>
      <w:r w:rsidR="00A860FC">
        <w:t>and</w:t>
      </w:r>
      <w:r w:rsidR="00BF43A9">
        <w:t xml:space="preserve"> </w:t>
      </w:r>
      <w:r w:rsidR="00BF43A9" w:rsidRPr="00E51E6A">
        <w:rPr>
          <w:rStyle w:val="Strong"/>
        </w:rPr>
        <w:t>100%</w:t>
      </w:r>
      <w:r w:rsidR="00BF43A9">
        <w:t xml:space="preserve"> </w:t>
      </w:r>
      <w:r w:rsidRPr="007B0E83">
        <w:t xml:space="preserve">of poverty: </w:t>
      </w:r>
    </w:p>
    <w:p w:rsidR="007B0E83" w:rsidRPr="00E51E6A" w:rsidRDefault="008504E8" w:rsidP="00F9158C">
      <w:pPr>
        <w:pStyle w:val="ListParagraph"/>
        <w:numPr>
          <w:ilvl w:val="0"/>
          <w:numId w:val="24"/>
        </w:numPr>
        <w:rPr>
          <w:rStyle w:val="Strong"/>
        </w:rPr>
      </w:pPr>
      <w:r w:rsidRPr="00E51E6A">
        <w:rPr>
          <w:rStyle w:val="Strong"/>
        </w:rPr>
        <w:t>Alaska</w:t>
      </w:r>
      <w:r w:rsidR="00164A9F" w:rsidRPr="00E51E6A">
        <w:rPr>
          <w:rStyle w:val="Strong"/>
        </w:rPr>
        <w:t xml:space="preserve">: </w:t>
      </w:r>
      <w:r w:rsidRPr="00E51E6A">
        <w:rPr>
          <w:rStyle w:val="Strong"/>
        </w:rPr>
        <w:t xml:space="preserve">134% </w:t>
      </w:r>
    </w:p>
    <w:p w:rsidR="007B0E83" w:rsidRPr="00E51E6A" w:rsidRDefault="00C01491" w:rsidP="00F9158C">
      <w:pPr>
        <w:pStyle w:val="ListParagraph"/>
        <w:numPr>
          <w:ilvl w:val="0"/>
          <w:numId w:val="24"/>
        </w:numPr>
        <w:rPr>
          <w:rStyle w:val="Strong"/>
        </w:rPr>
      </w:pPr>
      <w:r w:rsidRPr="00E51E6A">
        <w:rPr>
          <w:rStyle w:val="Strong"/>
        </w:rPr>
        <w:t>Tennessee</w:t>
      </w:r>
      <w:r w:rsidR="00164A9F" w:rsidRPr="00E51E6A">
        <w:rPr>
          <w:rStyle w:val="Strong"/>
        </w:rPr>
        <w:t xml:space="preserve">: </w:t>
      </w:r>
      <w:r w:rsidRPr="00E51E6A">
        <w:rPr>
          <w:rStyle w:val="Strong"/>
        </w:rPr>
        <w:t xml:space="preserve"> 110% </w:t>
      </w:r>
    </w:p>
    <w:p w:rsidR="007B0E83" w:rsidRPr="00E51E6A" w:rsidRDefault="008504E8" w:rsidP="00F9158C">
      <w:pPr>
        <w:pStyle w:val="ListParagraph"/>
        <w:numPr>
          <w:ilvl w:val="0"/>
          <w:numId w:val="24"/>
        </w:numPr>
        <w:rPr>
          <w:rStyle w:val="Strong"/>
        </w:rPr>
      </w:pPr>
      <w:r w:rsidRPr="00E51E6A">
        <w:rPr>
          <w:rStyle w:val="Strong"/>
        </w:rPr>
        <w:t>Maine</w:t>
      </w:r>
      <w:r w:rsidR="00164A9F" w:rsidRPr="00E51E6A">
        <w:rPr>
          <w:rStyle w:val="Strong"/>
        </w:rPr>
        <w:t xml:space="preserve">: </w:t>
      </w:r>
      <w:r w:rsidRPr="00E51E6A">
        <w:rPr>
          <w:rStyle w:val="Strong"/>
        </w:rPr>
        <w:t xml:space="preserve">105% </w:t>
      </w:r>
      <w:r w:rsidR="003352CA" w:rsidRPr="00E51E6A">
        <w:rPr>
          <w:rStyle w:val="Strong"/>
        </w:rPr>
        <w:t xml:space="preserve">and </w:t>
      </w:r>
    </w:p>
    <w:p w:rsidR="007B0E83" w:rsidRPr="00E51E6A" w:rsidRDefault="003352CA" w:rsidP="00F9158C">
      <w:pPr>
        <w:pStyle w:val="ListParagraph"/>
        <w:numPr>
          <w:ilvl w:val="0"/>
          <w:numId w:val="24"/>
        </w:numPr>
        <w:rPr>
          <w:rStyle w:val="Strong"/>
        </w:rPr>
      </w:pPr>
      <w:r w:rsidRPr="00E51E6A">
        <w:rPr>
          <w:rStyle w:val="Strong"/>
        </w:rPr>
        <w:t>Wisconsin</w:t>
      </w:r>
      <w:r w:rsidR="00164A9F" w:rsidRPr="00E51E6A">
        <w:rPr>
          <w:rStyle w:val="Strong"/>
        </w:rPr>
        <w:t xml:space="preserve">: </w:t>
      </w:r>
      <w:r w:rsidRPr="00E51E6A">
        <w:rPr>
          <w:rStyle w:val="Strong"/>
        </w:rPr>
        <w:t>100%</w:t>
      </w:r>
      <w:r w:rsidR="007B0E83" w:rsidRPr="00E51E6A">
        <w:rPr>
          <w:rStyle w:val="Strong"/>
        </w:rPr>
        <w:t>.</w:t>
      </w:r>
    </w:p>
    <w:p w:rsidR="007B0E83" w:rsidRDefault="003352CA" w:rsidP="00E51E6A">
      <w:r>
        <w:t xml:space="preserve">Five states have eligibility limits between </w:t>
      </w:r>
      <w:r w:rsidRPr="00055F95">
        <w:rPr>
          <w:b/>
          <w:i/>
        </w:rPr>
        <w:t>74%</w:t>
      </w:r>
      <w:r>
        <w:t xml:space="preserve"> and </w:t>
      </w:r>
      <w:r w:rsidRPr="00055F95">
        <w:rPr>
          <w:b/>
          <w:i/>
        </w:rPr>
        <w:t>61</w:t>
      </w:r>
      <w:r w:rsidR="007B0E83" w:rsidRPr="00055F95">
        <w:rPr>
          <w:b/>
          <w:i/>
        </w:rPr>
        <w:t>%</w:t>
      </w:r>
      <w:r w:rsidR="007B0E83" w:rsidRPr="00055F95">
        <w:t xml:space="preserve"> </w:t>
      </w:r>
      <w:r w:rsidR="007B0E83">
        <w:t xml:space="preserve">of poverty: </w:t>
      </w:r>
    </w:p>
    <w:p w:rsidR="007B0E83" w:rsidRPr="00E51E6A" w:rsidRDefault="007B0E83" w:rsidP="00F9158C">
      <w:pPr>
        <w:pStyle w:val="ListParagraph"/>
        <w:numPr>
          <w:ilvl w:val="0"/>
          <w:numId w:val="20"/>
        </w:numPr>
        <w:rPr>
          <w:rStyle w:val="Strong"/>
        </w:rPr>
      </w:pPr>
      <w:r w:rsidRPr="00E51E6A">
        <w:rPr>
          <w:rStyle w:val="Strong"/>
        </w:rPr>
        <w:t>New Hampshire</w:t>
      </w:r>
      <w:r w:rsidR="00164A9F" w:rsidRPr="00E51E6A">
        <w:rPr>
          <w:rStyle w:val="Strong"/>
        </w:rPr>
        <w:t>:</w:t>
      </w:r>
      <w:r w:rsidRPr="00E51E6A">
        <w:rPr>
          <w:rStyle w:val="Strong"/>
        </w:rPr>
        <w:t xml:space="preserve"> 74%;</w:t>
      </w:r>
    </w:p>
    <w:p w:rsidR="007B0E83" w:rsidRPr="00E51E6A" w:rsidRDefault="007B0E83" w:rsidP="00F9158C">
      <w:pPr>
        <w:pStyle w:val="ListParagraph"/>
        <w:numPr>
          <w:ilvl w:val="0"/>
          <w:numId w:val="20"/>
        </w:numPr>
        <w:rPr>
          <w:rStyle w:val="Strong"/>
        </w:rPr>
      </w:pPr>
      <w:r w:rsidRPr="00E51E6A">
        <w:rPr>
          <w:rStyle w:val="Strong"/>
        </w:rPr>
        <w:t>South Carolina</w:t>
      </w:r>
      <w:r w:rsidR="00164A9F" w:rsidRPr="00E51E6A">
        <w:rPr>
          <w:rStyle w:val="Strong"/>
        </w:rPr>
        <w:t>:</w:t>
      </w:r>
      <w:r w:rsidRPr="00E51E6A">
        <w:rPr>
          <w:rStyle w:val="Strong"/>
        </w:rPr>
        <w:t xml:space="preserve"> 67%;</w:t>
      </w:r>
    </w:p>
    <w:p w:rsidR="007B0E83" w:rsidRPr="00E51E6A" w:rsidRDefault="007B0E83" w:rsidP="00F9158C">
      <w:pPr>
        <w:pStyle w:val="ListParagraph"/>
        <w:numPr>
          <w:ilvl w:val="0"/>
          <w:numId w:val="20"/>
        </w:numPr>
        <w:rPr>
          <w:rStyle w:val="Strong"/>
        </w:rPr>
      </w:pPr>
      <w:r w:rsidRPr="00E51E6A">
        <w:rPr>
          <w:rStyle w:val="Strong"/>
        </w:rPr>
        <w:t>South Dakota</w:t>
      </w:r>
      <w:r w:rsidR="00164A9F" w:rsidRPr="00E51E6A">
        <w:rPr>
          <w:rStyle w:val="Strong"/>
        </w:rPr>
        <w:t>:</w:t>
      </w:r>
      <w:r w:rsidR="00EF7019" w:rsidRPr="00E51E6A">
        <w:rPr>
          <w:rStyle w:val="Strong"/>
        </w:rPr>
        <w:t xml:space="preserve"> 63%; </w:t>
      </w:r>
    </w:p>
    <w:p w:rsidR="00EF7019" w:rsidRPr="00E51E6A" w:rsidRDefault="00EF7019" w:rsidP="00F9158C">
      <w:pPr>
        <w:pStyle w:val="ListParagraph"/>
        <w:numPr>
          <w:ilvl w:val="0"/>
          <w:numId w:val="20"/>
        </w:numPr>
        <w:rPr>
          <w:rStyle w:val="Strong"/>
        </w:rPr>
      </w:pPr>
      <w:r w:rsidRPr="00E51E6A">
        <w:rPr>
          <w:rStyle w:val="Strong"/>
        </w:rPr>
        <w:t>Nebraska</w:t>
      </w:r>
      <w:r w:rsidR="00BC0386" w:rsidRPr="00E51E6A">
        <w:rPr>
          <w:rStyle w:val="Strong"/>
        </w:rPr>
        <w:t>:</w:t>
      </w:r>
      <w:r w:rsidRPr="00E51E6A">
        <w:rPr>
          <w:rStyle w:val="Strong"/>
        </w:rPr>
        <w:t xml:space="preserve"> 62%; and</w:t>
      </w:r>
    </w:p>
    <w:p w:rsidR="00EF7019" w:rsidRPr="00E51E6A" w:rsidRDefault="00EF7019" w:rsidP="00F9158C">
      <w:pPr>
        <w:pStyle w:val="ListParagraph"/>
        <w:numPr>
          <w:ilvl w:val="0"/>
          <w:numId w:val="20"/>
        </w:numPr>
        <w:rPr>
          <w:rStyle w:val="Strong"/>
        </w:rPr>
      </w:pPr>
      <w:r w:rsidRPr="00E51E6A">
        <w:rPr>
          <w:rStyle w:val="Strong"/>
        </w:rPr>
        <w:t>Wyoming</w:t>
      </w:r>
      <w:r w:rsidR="00BC0386" w:rsidRPr="00E51E6A">
        <w:rPr>
          <w:rStyle w:val="Strong"/>
        </w:rPr>
        <w:t>:</w:t>
      </w:r>
      <w:r w:rsidRPr="00E51E6A">
        <w:rPr>
          <w:rStyle w:val="Strong"/>
        </w:rPr>
        <w:t xml:space="preserve"> 61%.</w:t>
      </w:r>
    </w:p>
    <w:p w:rsidR="00EF7019" w:rsidRDefault="00EF7019" w:rsidP="00E51E6A">
      <w:r w:rsidRPr="00EF7019">
        <w:t xml:space="preserve">Four states have eligibility limits between </w:t>
      </w:r>
      <w:r w:rsidRPr="00055F95">
        <w:rPr>
          <w:b/>
          <w:i/>
        </w:rPr>
        <w:t>56%</w:t>
      </w:r>
      <w:r>
        <w:t xml:space="preserve"> and </w:t>
      </w:r>
      <w:r w:rsidRPr="00055F95">
        <w:rPr>
          <w:b/>
          <w:i/>
        </w:rPr>
        <w:t>50%</w:t>
      </w:r>
      <w:r w:rsidRPr="00055F95">
        <w:t xml:space="preserve"> </w:t>
      </w:r>
      <w:r>
        <w:t>of poverty:</w:t>
      </w:r>
    </w:p>
    <w:p w:rsidR="00EF7019" w:rsidRPr="00E51E6A" w:rsidRDefault="00EF7019" w:rsidP="00F9158C">
      <w:pPr>
        <w:pStyle w:val="ListParagraph"/>
        <w:numPr>
          <w:ilvl w:val="0"/>
          <w:numId w:val="21"/>
        </w:numPr>
        <w:rPr>
          <w:rStyle w:val="Strong"/>
        </w:rPr>
      </w:pPr>
      <w:r w:rsidRPr="00E51E6A">
        <w:rPr>
          <w:rStyle w:val="Strong"/>
        </w:rPr>
        <w:t>Utah</w:t>
      </w:r>
      <w:r w:rsidR="00BC0386" w:rsidRPr="00E51E6A">
        <w:rPr>
          <w:rStyle w:val="Strong"/>
        </w:rPr>
        <w:t xml:space="preserve">: </w:t>
      </w:r>
      <w:r w:rsidRPr="00E51E6A">
        <w:rPr>
          <w:rStyle w:val="Strong"/>
        </w:rPr>
        <w:t>56</w:t>
      </w:r>
      <w:r w:rsidR="000508A2" w:rsidRPr="00E51E6A">
        <w:rPr>
          <w:rStyle w:val="Strong"/>
        </w:rPr>
        <w:t>%;</w:t>
      </w:r>
    </w:p>
    <w:p w:rsidR="000508A2" w:rsidRPr="00E51E6A" w:rsidRDefault="000508A2" w:rsidP="00F9158C">
      <w:pPr>
        <w:pStyle w:val="ListParagraph"/>
        <w:numPr>
          <w:ilvl w:val="0"/>
          <w:numId w:val="21"/>
        </w:numPr>
        <w:rPr>
          <w:rStyle w:val="Strong"/>
        </w:rPr>
      </w:pPr>
      <w:r w:rsidRPr="00E51E6A">
        <w:rPr>
          <w:rStyle w:val="Strong"/>
        </w:rPr>
        <w:t>Virginia</w:t>
      </w:r>
      <w:r w:rsidR="00BC0386" w:rsidRPr="00E51E6A">
        <w:rPr>
          <w:rStyle w:val="Strong"/>
        </w:rPr>
        <w:t>:</w:t>
      </w:r>
      <w:r w:rsidRPr="00E51E6A">
        <w:rPr>
          <w:rStyle w:val="Strong"/>
        </w:rPr>
        <w:t xml:space="preserve"> 54%;</w:t>
      </w:r>
    </w:p>
    <w:p w:rsidR="000508A2" w:rsidRPr="00E51E6A" w:rsidRDefault="000508A2" w:rsidP="00F9158C">
      <w:pPr>
        <w:pStyle w:val="ListParagraph"/>
        <w:numPr>
          <w:ilvl w:val="0"/>
          <w:numId w:val="21"/>
        </w:numPr>
        <w:rPr>
          <w:rStyle w:val="Strong"/>
        </w:rPr>
      </w:pPr>
      <w:r w:rsidRPr="00E51E6A">
        <w:rPr>
          <w:rStyle w:val="Strong"/>
        </w:rPr>
        <w:t>Montana</w:t>
      </w:r>
      <w:r w:rsidR="00BC0386" w:rsidRPr="00E51E6A">
        <w:rPr>
          <w:rStyle w:val="Strong"/>
        </w:rPr>
        <w:t>:</w:t>
      </w:r>
      <w:r w:rsidRPr="00E51E6A">
        <w:rPr>
          <w:rStyle w:val="Strong"/>
        </w:rPr>
        <w:t xml:space="preserve"> </w:t>
      </w:r>
      <w:r w:rsidR="00164A9F" w:rsidRPr="00E51E6A">
        <w:rPr>
          <w:rStyle w:val="Strong"/>
        </w:rPr>
        <w:t>52%</w:t>
      </w:r>
      <w:r w:rsidRPr="00E51E6A">
        <w:rPr>
          <w:rStyle w:val="Strong"/>
        </w:rPr>
        <w:t>; and</w:t>
      </w:r>
    </w:p>
    <w:p w:rsidR="000508A2" w:rsidRPr="00E51E6A" w:rsidRDefault="000508A2" w:rsidP="00F9158C">
      <w:pPr>
        <w:pStyle w:val="ListParagraph"/>
        <w:numPr>
          <w:ilvl w:val="0"/>
          <w:numId w:val="21"/>
        </w:numPr>
        <w:rPr>
          <w:rStyle w:val="Strong"/>
        </w:rPr>
      </w:pPr>
      <w:r w:rsidRPr="00E51E6A">
        <w:rPr>
          <w:rStyle w:val="Strong"/>
        </w:rPr>
        <w:t>North Carolina</w:t>
      </w:r>
      <w:r w:rsidR="00BC0386" w:rsidRPr="00E51E6A">
        <w:rPr>
          <w:rStyle w:val="Strong"/>
        </w:rPr>
        <w:t xml:space="preserve">: </w:t>
      </w:r>
      <w:r w:rsidRPr="00E51E6A">
        <w:rPr>
          <w:rStyle w:val="Strong"/>
        </w:rPr>
        <w:t>50%.</w:t>
      </w:r>
    </w:p>
    <w:p w:rsidR="000508A2" w:rsidRDefault="000508A2" w:rsidP="00E51E6A">
      <w:r>
        <w:t xml:space="preserve"> </w:t>
      </w:r>
      <w:r w:rsidR="000602B8">
        <w:t xml:space="preserve">Eleven </w:t>
      </w:r>
      <w:r>
        <w:t xml:space="preserve">states have eligibility limits below </w:t>
      </w:r>
      <w:r w:rsidRPr="00055F95">
        <w:rPr>
          <w:b/>
        </w:rPr>
        <w:t>50%</w:t>
      </w:r>
      <w:r>
        <w:t xml:space="preserve"> of poverty:</w:t>
      </w:r>
    </w:p>
    <w:p w:rsidR="000204F6" w:rsidRPr="00E51E6A" w:rsidRDefault="000204F6" w:rsidP="00F9158C">
      <w:pPr>
        <w:pStyle w:val="ListParagraph"/>
        <w:numPr>
          <w:ilvl w:val="0"/>
          <w:numId w:val="22"/>
        </w:numPr>
        <w:rPr>
          <w:rStyle w:val="Strong"/>
        </w:rPr>
      </w:pPr>
      <w:r w:rsidRPr="00E51E6A">
        <w:rPr>
          <w:rStyle w:val="Strong"/>
        </w:rPr>
        <w:t>Oklahoma</w:t>
      </w:r>
      <w:r w:rsidR="00BC0386" w:rsidRPr="00E51E6A">
        <w:rPr>
          <w:rStyle w:val="Strong"/>
        </w:rPr>
        <w:t>:</w:t>
      </w:r>
      <w:r w:rsidRPr="00E51E6A">
        <w:rPr>
          <w:rStyle w:val="Strong"/>
        </w:rPr>
        <w:t xml:space="preserve"> 47%;</w:t>
      </w:r>
    </w:p>
    <w:p w:rsidR="000508A2" w:rsidRPr="00E51E6A" w:rsidRDefault="00BC0386" w:rsidP="00F9158C">
      <w:pPr>
        <w:pStyle w:val="ListParagraph"/>
        <w:numPr>
          <w:ilvl w:val="0"/>
          <w:numId w:val="22"/>
        </w:numPr>
        <w:rPr>
          <w:rStyle w:val="Strong"/>
        </w:rPr>
      </w:pPr>
      <w:r w:rsidRPr="00E51E6A">
        <w:rPr>
          <w:rStyle w:val="Strong"/>
        </w:rPr>
        <w:t>Georgia:</w:t>
      </w:r>
      <w:r w:rsidR="000508A2" w:rsidRPr="00E51E6A">
        <w:rPr>
          <w:rStyle w:val="Strong"/>
        </w:rPr>
        <w:t xml:space="preserve"> 40%;</w:t>
      </w:r>
    </w:p>
    <w:p w:rsidR="000508A2" w:rsidRPr="00E51E6A" w:rsidRDefault="000508A2" w:rsidP="00F9158C">
      <w:pPr>
        <w:pStyle w:val="ListParagraph"/>
        <w:numPr>
          <w:ilvl w:val="0"/>
          <w:numId w:val="22"/>
        </w:numPr>
        <w:rPr>
          <w:rStyle w:val="Strong"/>
        </w:rPr>
      </w:pPr>
      <w:r w:rsidRPr="00E51E6A">
        <w:rPr>
          <w:rStyle w:val="Strong"/>
        </w:rPr>
        <w:t>Kansas</w:t>
      </w:r>
      <w:r w:rsidR="00BC0386" w:rsidRPr="00E51E6A">
        <w:rPr>
          <w:rStyle w:val="Strong"/>
        </w:rPr>
        <w:t xml:space="preserve">: </w:t>
      </w:r>
      <w:r w:rsidRPr="00E51E6A">
        <w:rPr>
          <w:rStyle w:val="Strong"/>
        </w:rPr>
        <w:t>38%;</w:t>
      </w:r>
    </w:p>
    <w:p w:rsidR="000204F6" w:rsidRPr="00E51E6A" w:rsidRDefault="00BC0386" w:rsidP="00F9158C">
      <w:pPr>
        <w:pStyle w:val="ListParagraph"/>
        <w:numPr>
          <w:ilvl w:val="0"/>
          <w:numId w:val="22"/>
        </w:numPr>
        <w:rPr>
          <w:rStyle w:val="Strong"/>
        </w:rPr>
      </w:pPr>
      <w:r w:rsidRPr="00E51E6A">
        <w:rPr>
          <w:rStyle w:val="Strong"/>
        </w:rPr>
        <w:t>Pennsylvania:</w:t>
      </w:r>
      <w:r w:rsidR="000204F6" w:rsidRPr="00E51E6A">
        <w:rPr>
          <w:rStyle w:val="Strong"/>
        </w:rPr>
        <w:t xml:space="preserve"> 38%; </w:t>
      </w:r>
    </w:p>
    <w:p w:rsidR="000204F6" w:rsidRPr="00E51E6A" w:rsidRDefault="000204F6" w:rsidP="00F9158C">
      <w:pPr>
        <w:pStyle w:val="ListParagraph"/>
        <w:numPr>
          <w:ilvl w:val="0"/>
          <w:numId w:val="22"/>
        </w:numPr>
        <w:rPr>
          <w:rStyle w:val="Strong"/>
        </w:rPr>
      </w:pPr>
      <w:r w:rsidRPr="00E51E6A">
        <w:rPr>
          <w:rStyle w:val="Strong"/>
        </w:rPr>
        <w:t>Florida</w:t>
      </w:r>
      <w:r w:rsidR="00BC0386" w:rsidRPr="00E51E6A">
        <w:rPr>
          <w:rStyle w:val="Strong"/>
        </w:rPr>
        <w:t xml:space="preserve">: </w:t>
      </w:r>
      <w:r w:rsidRPr="00E51E6A">
        <w:rPr>
          <w:rStyle w:val="Strong"/>
        </w:rPr>
        <w:t>35%;</w:t>
      </w:r>
    </w:p>
    <w:p w:rsidR="000204F6" w:rsidRPr="00E51E6A" w:rsidRDefault="000204F6" w:rsidP="00F9158C">
      <w:pPr>
        <w:pStyle w:val="ListParagraph"/>
        <w:numPr>
          <w:ilvl w:val="0"/>
          <w:numId w:val="22"/>
        </w:numPr>
        <w:rPr>
          <w:rStyle w:val="Strong"/>
        </w:rPr>
      </w:pPr>
      <w:r w:rsidRPr="00E51E6A">
        <w:rPr>
          <w:rStyle w:val="Strong"/>
        </w:rPr>
        <w:t>Idaho</w:t>
      </w:r>
      <w:r w:rsidR="00BC0386" w:rsidRPr="00E51E6A">
        <w:rPr>
          <w:rStyle w:val="Strong"/>
        </w:rPr>
        <w:t xml:space="preserve">: </w:t>
      </w:r>
      <w:r w:rsidRPr="00E51E6A">
        <w:rPr>
          <w:rStyle w:val="Strong"/>
        </w:rPr>
        <w:t>29%;</w:t>
      </w:r>
    </w:p>
    <w:p w:rsidR="00E51E6A" w:rsidRPr="00E51E6A" w:rsidRDefault="000204F6" w:rsidP="00F9158C">
      <w:pPr>
        <w:pStyle w:val="ListParagraph"/>
        <w:numPr>
          <w:ilvl w:val="0"/>
          <w:numId w:val="22"/>
        </w:numPr>
        <w:rPr>
          <w:rStyle w:val="Strong"/>
        </w:rPr>
      </w:pPr>
      <w:r w:rsidRPr="00E51E6A">
        <w:rPr>
          <w:rStyle w:val="Strong"/>
        </w:rPr>
        <w:t>Mississippi</w:t>
      </w:r>
      <w:r w:rsidR="00BC0386" w:rsidRPr="00E51E6A">
        <w:rPr>
          <w:rStyle w:val="Strong"/>
        </w:rPr>
        <w:t>:</w:t>
      </w:r>
      <w:r w:rsidRPr="00E51E6A">
        <w:rPr>
          <w:rStyle w:val="Strong"/>
        </w:rPr>
        <w:t xml:space="preserve"> 28%</w:t>
      </w:r>
      <w:r w:rsidR="00A860FC" w:rsidRPr="00E51E6A">
        <w:rPr>
          <w:rStyle w:val="Strong"/>
        </w:rPr>
        <w:t>;</w:t>
      </w:r>
    </w:p>
    <w:p w:rsidR="000602B8" w:rsidRPr="00E51E6A" w:rsidRDefault="000602B8" w:rsidP="00F9158C">
      <w:pPr>
        <w:pStyle w:val="ListParagraph"/>
        <w:numPr>
          <w:ilvl w:val="0"/>
          <w:numId w:val="22"/>
        </w:numPr>
        <w:rPr>
          <w:rStyle w:val="Strong"/>
        </w:rPr>
      </w:pPr>
      <w:r w:rsidRPr="00E51E6A">
        <w:rPr>
          <w:rStyle w:val="Strong"/>
        </w:rPr>
        <w:t>Indiana</w:t>
      </w:r>
      <w:r w:rsidR="00BC0386" w:rsidRPr="00E51E6A">
        <w:rPr>
          <w:rStyle w:val="Strong"/>
        </w:rPr>
        <w:t xml:space="preserve">: </w:t>
      </w:r>
      <w:r w:rsidRPr="00E51E6A">
        <w:rPr>
          <w:rStyle w:val="Strong"/>
        </w:rPr>
        <w:t xml:space="preserve"> 25%</w:t>
      </w:r>
      <w:r w:rsidR="00BC0386" w:rsidRPr="00E51E6A">
        <w:rPr>
          <w:rStyle w:val="Strong"/>
        </w:rPr>
        <w:t>;</w:t>
      </w:r>
    </w:p>
    <w:p w:rsidR="000204F6" w:rsidRPr="00E51E6A" w:rsidRDefault="00A860FC" w:rsidP="00F9158C">
      <w:pPr>
        <w:pStyle w:val="ListParagraph"/>
        <w:numPr>
          <w:ilvl w:val="0"/>
          <w:numId w:val="22"/>
        </w:numPr>
        <w:rPr>
          <w:rStyle w:val="Strong"/>
        </w:rPr>
      </w:pPr>
      <w:r w:rsidRPr="00E51E6A">
        <w:rPr>
          <w:rStyle w:val="Strong"/>
        </w:rPr>
        <w:t>Louisiana</w:t>
      </w:r>
      <w:r w:rsidR="005E6C06" w:rsidRPr="00E51E6A">
        <w:rPr>
          <w:rStyle w:val="Strong"/>
        </w:rPr>
        <w:t>:</w:t>
      </w:r>
      <w:r w:rsidRPr="00E51E6A">
        <w:rPr>
          <w:rStyle w:val="Strong"/>
        </w:rPr>
        <w:t xml:space="preserve"> 24%;</w:t>
      </w:r>
    </w:p>
    <w:p w:rsidR="00E51E6A" w:rsidRPr="00E51E6A" w:rsidRDefault="00A860FC" w:rsidP="00F9158C">
      <w:pPr>
        <w:pStyle w:val="ListParagraph"/>
        <w:numPr>
          <w:ilvl w:val="0"/>
          <w:numId w:val="22"/>
        </w:numPr>
        <w:rPr>
          <w:rStyle w:val="Strong"/>
        </w:rPr>
      </w:pPr>
      <w:r w:rsidRPr="00E51E6A">
        <w:rPr>
          <w:rStyle w:val="Strong"/>
        </w:rPr>
        <w:t>Missouri</w:t>
      </w:r>
      <w:r w:rsidR="005E6C06" w:rsidRPr="00E51E6A">
        <w:rPr>
          <w:rStyle w:val="Strong"/>
        </w:rPr>
        <w:t>:</w:t>
      </w:r>
      <w:r w:rsidRPr="00E51E6A">
        <w:rPr>
          <w:rStyle w:val="Strong"/>
        </w:rPr>
        <w:t xml:space="preserve"> 23%; and</w:t>
      </w:r>
    </w:p>
    <w:p w:rsidR="00543B4C" w:rsidRPr="00E51E6A" w:rsidRDefault="00A860FC" w:rsidP="00F9158C">
      <w:pPr>
        <w:pStyle w:val="ListParagraph"/>
        <w:numPr>
          <w:ilvl w:val="0"/>
          <w:numId w:val="22"/>
        </w:numPr>
        <w:rPr>
          <w:b/>
          <w:bCs/>
        </w:rPr>
      </w:pPr>
      <w:r w:rsidRPr="00E51E6A">
        <w:rPr>
          <w:rStyle w:val="Strong"/>
        </w:rPr>
        <w:t>Texas</w:t>
      </w:r>
      <w:r w:rsidR="005E6C06" w:rsidRPr="00E51E6A">
        <w:rPr>
          <w:rStyle w:val="Strong"/>
        </w:rPr>
        <w:t>:</w:t>
      </w:r>
      <w:r w:rsidRPr="00E51E6A">
        <w:rPr>
          <w:rStyle w:val="Strong"/>
        </w:rPr>
        <w:t xml:space="preserve"> </w:t>
      </w:r>
      <w:r w:rsidR="00E51E6A" w:rsidRPr="00E51E6A">
        <w:rPr>
          <w:rStyle w:val="Strong"/>
        </w:rPr>
        <w:t>20% of poverty</w:t>
      </w:r>
    </w:p>
    <w:p w:rsidR="00CE6D1A" w:rsidRPr="00BB2E53" w:rsidRDefault="00CE6D1A" w:rsidP="005821D1">
      <w:pPr>
        <w:shd w:val="clear" w:color="auto" w:fill="FFFFFF"/>
        <w:spacing w:before="120" w:after="120" w:line="300" w:lineRule="auto"/>
        <w:jc w:val="center"/>
        <w:rPr>
          <w:rFonts w:eastAsiaTheme="minorHAnsi" w:cs="Arial"/>
          <w:color w:val="000000" w:themeColor="text1"/>
        </w:rPr>
      </w:pPr>
      <w:bookmarkStart w:id="12" w:name="_Toc403370668"/>
      <w:r w:rsidRPr="00E51E6A">
        <w:rPr>
          <w:rStyle w:val="Heading2Char"/>
        </w:rPr>
        <w:lastRenderedPageBreak/>
        <w:t>Montana’s Economy</w:t>
      </w:r>
      <w:bookmarkEnd w:id="12"/>
      <w:r w:rsidRPr="00BB2E53">
        <w:rPr>
          <w:rStyle w:val="FootnoteReference"/>
          <w:rFonts w:eastAsia="Times New Roman" w:cs="Arial"/>
          <w:color w:val="000000" w:themeColor="text1"/>
        </w:rPr>
        <w:footnoteReference w:id="11"/>
      </w:r>
    </w:p>
    <w:p w:rsidR="005446DB" w:rsidRDefault="00CE6D1A" w:rsidP="00E51E6A">
      <w:pPr>
        <w:rPr>
          <w:rFonts w:eastAsiaTheme="minorHAnsi"/>
        </w:rPr>
      </w:pPr>
      <w:r w:rsidRPr="0079080F">
        <w:rPr>
          <w:rFonts w:eastAsiaTheme="minorHAnsi"/>
        </w:rPr>
        <w:t>Montana’s seasonally-adjusted unemployment rate for April 2014 dropped to 4.8% from March’s rate of 5.1%. The national unemployment rate also decreased significantly since March, moving to 6.3% from 6.7% over the month.</w:t>
      </w:r>
      <w:r w:rsidR="005446DB">
        <w:rPr>
          <w:rFonts w:eastAsiaTheme="minorHAnsi"/>
        </w:rPr>
        <w:t xml:space="preserve"> </w:t>
      </w:r>
    </w:p>
    <w:p w:rsidR="005446DB" w:rsidRDefault="0097213A" w:rsidP="00E51E6A">
      <w:pPr>
        <w:rPr>
          <w:rFonts w:eastAsiaTheme="minorHAnsi"/>
        </w:rPr>
      </w:pPr>
      <w:r>
        <w:rPr>
          <w:rFonts w:eastAsiaTheme="minorHAnsi"/>
        </w:rPr>
        <w:t xml:space="preserve">Montana’s seasonally-adjusted, non-agricultural payroll employment decreased by </w:t>
      </w:r>
      <w:r w:rsidRPr="00C86FAC">
        <w:rPr>
          <w:rStyle w:val="Strong"/>
        </w:rPr>
        <w:t>500 jobs</w:t>
      </w:r>
      <w:r w:rsidR="00DE1D18">
        <w:rPr>
          <w:rFonts w:eastAsiaTheme="minorHAnsi"/>
        </w:rPr>
        <w:t xml:space="preserve"> or</w:t>
      </w:r>
      <w:r w:rsidR="00E51E6A">
        <w:rPr>
          <w:rFonts w:eastAsiaTheme="minorHAnsi"/>
        </w:rPr>
        <w:t xml:space="preserve"> </w:t>
      </w:r>
      <w:r w:rsidR="005446DB" w:rsidRPr="00C86FAC">
        <w:rPr>
          <w:rStyle w:val="Strong"/>
        </w:rPr>
        <w:t>10.1</w:t>
      </w:r>
      <w:r w:rsidRPr="00C86FAC">
        <w:rPr>
          <w:rStyle w:val="Strong"/>
        </w:rPr>
        <w:t>%</w:t>
      </w:r>
      <w:r w:rsidR="00DE1D18" w:rsidRPr="00C86FAC">
        <w:rPr>
          <w:rStyle w:val="Strong"/>
        </w:rPr>
        <w:t xml:space="preserve"> </w:t>
      </w:r>
      <w:r w:rsidR="005446DB">
        <w:rPr>
          <w:rFonts w:eastAsiaTheme="minorHAnsi"/>
        </w:rPr>
        <w:t>over the month, for a total of 453,000 in April 2014.  The largest loss occurred in the Leisure and Hospitality sector, with 1,100 fewer jobs (</w:t>
      </w:r>
      <w:r w:rsidR="005446DB" w:rsidRPr="00DE1D18">
        <w:rPr>
          <w:rFonts w:eastAsiaTheme="minorHAnsi"/>
          <w:color w:val="595959" w:themeColor="text1" w:themeTint="A6"/>
        </w:rPr>
        <w:t>11.8%</w:t>
      </w:r>
      <w:r w:rsidR="005446DB">
        <w:rPr>
          <w:rFonts w:eastAsiaTheme="minorHAnsi"/>
        </w:rPr>
        <w:t xml:space="preserve">).  </w:t>
      </w:r>
    </w:p>
    <w:p w:rsidR="00CE6D1A" w:rsidRDefault="005446DB" w:rsidP="00E51E6A">
      <w:pPr>
        <w:rPr>
          <w:rFonts w:eastAsiaTheme="minorHAnsi"/>
        </w:rPr>
      </w:pPr>
      <w:r>
        <w:rPr>
          <w:rFonts w:eastAsiaTheme="minorHAnsi"/>
        </w:rPr>
        <w:t>Industries showing gains included:</w:t>
      </w:r>
    </w:p>
    <w:p w:rsidR="005446DB" w:rsidRPr="00E51E6A" w:rsidRDefault="005446DB" w:rsidP="00F9158C">
      <w:pPr>
        <w:pStyle w:val="ListParagraph"/>
        <w:numPr>
          <w:ilvl w:val="0"/>
          <w:numId w:val="25"/>
        </w:numPr>
        <w:rPr>
          <w:rFonts w:eastAsiaTheme="minorHAnsi"/>
        </w:rPr>
      </w:pPr>
      <w:r w:rsidRPr="00E51E6A">
        <w:rPr>
          <w:rFonts w:eastAsiaTheme="minorHAnsi"/>
        </w:rPr>
        <w:t>Construction: 300 new jobs (+1.3%)</w:t>
      </w:r>
    </w:p>
    <w:p w:rsidR="008C38DB" w:rsidRPr="00E51E6A" w:rsidRDefault="000567AB" w:rsidP="00F9158C">
      <w:pPr>
        <w:pStyle w:val="ListParagraph"/>
        <w:numPr>
          <w:ilvl w:val="0"/>
          <w:numId w:val="25"/>
        </w:numPr>
        <w:rPr>
          <w:rFonts w:eastAsiaTheme="minorHAnsi"/>
          <w:color w:val="1F497D" w:themeColor="text2"/>
        </w:rPr>
      </w:pPr>
      <w:r w:rsidRPr="00E51E6A">
        <w:rPr>
          <w:rFonts w:eastAsiaTheme="minorHAnsi"/>
        </w:rPr>
        <w:t>Education and Health Services: also added 300 new jobs (+0.4%)</w:t>
      </w:r>
    </w:p>
    <w:p w:rsidR="005821D1" w:rsidRPr="00BF7010" w:rsidRDefault="005821D1" w:rsidP="00C86FAC">
      <w:pPr>
        <w:pStyle w:val="Heading2"/>
      </w:pPr>
      <w:bookmarkStart w:id="13" w:name="_Toc403370669"/>
      <w:r w:rsidRPr="00BF7010">
        <w:t xml:space="preserve">U. S. </w:t>
      </w:r>
      <w:r w:rsidR="00543B4C">
        <w:t xml:space="preserve">and Montana </w:t>
      </w:r>
      <w:r w:rsidRPr="00BF7010">
        <w:t>Poverty 2000 and 2012</w:t>
      </w:r>
      <w:bookmarkEnd w:id="13"/>
    </w:p>
    <w:p w:rsidR="005821D1" w:rsidRPr="00514FCC" w:rsidRDefault="005821D1" w:rsidP="005821D1">
      <w:pPr>
        <w:pStyle w:val="Default"/>
        <w:ind w:left="360"/>
        <w:rPr>
          <w:sz w:val="12"/>
          <w:szCs w:val="12"/>
        </w:rPr>
      </w:pPr>
    </w:p>
    <w:p w:rsidR="005821D1" w:rsidRPr="002168D9" w:rsidRDefault="005821D1" w:rsidP="005821D1">
      <w:pPr>
        <w:tabs>
          <w:tab w:val="left" w:pos="0"/>
        </w:tabs>
        <w:spacing w:after="120"/>
        <w:rPr>
          <w:rFonts w:cs="Arial"/>
        </w:rPr>
      </w:pPr>
      <w:r w:rsidRPr="002168D9">
        <w:rPr>
          <w:rFonts w:cs="Arial"/>
        </w:rPr>
        <w:t xml:space="preserve">According to the 2000 American Community Survey, about </w:t>
      </w:r>
      <w:r w:rsidRPr="00C86FAC">
        <w:rPr>
          <w:rStyle w:val="Strong"/>
        </w:rPr>
        <w:t>33.3 million</w:t>
      </w:r>
      <w:r w:rsidRPr="002168D9">
        <w:rPr>
          <w:rFonts w:cs="Arial"/>
        </w:rPr>
        <w:t xml:space="preserve"> people or </w:t>
      </w:r>
      <w:r w:rsidRPr="00C86FAC">
        <w:rPr>
          <w:rStyle w:val="Strong"/>
        </w:rPr>
        <w:t xml:space="preserve">12.2 </w:t>
      </w:r>
      <w:r w:rsidRPr="002168D9">
        <w:rPr>
          <w:rFonts w:cs="Arial"/>
        </w:rPr>
        <w:t>percent of the U.S. population had income below their respective poverty level. In 2012, the number of peo</w:t>
      </w:r>
      <w:r w:rsidRPr="002168D9">
        <w:rPr>
          <w:rFonts w:cs="Arial"/>
        </w:rPr>
        <w:softHyphen/>
        <w:t xml:space="preserve">ple in poverty increased to about </w:t>
      </w:r>
      <w:r w:rsidRPr="00C86FAC">
        <w:rPr>
          <w:rStyle w:val="Strong"/>
        </w:rPr>
        <w:t>48.8 million</w:t>
      </w:r>
      <w:r w:rsidRPr="002168D9">
        <w:rPr>
          <w:rFonts w:cs="Arial"/>
        </w:rPr>
        <w:t xml:space="preserve"> people or </w:t>
      </w:r>
      <w:r w:rsidRPr="00C86FAC">
        <w:rPr>
          <w:rStyle w:val="Strong"/>
        </w:rPr>
        <w:t>15.9</w:t>
      </w:r>
      <w:r w:rsidRPr="002168D9">
        <w:rPr>
          <w:rFonts w:cs="Arial"/>
        </w:rPr>
        <w:t xml:space="preserve"> percent.</w:t>
      </w:r>
    </w:p>
    <w:p w:rsidR="005821D1" w:rsidRDefault="005821D1" w:rsidP="00484489">
      <w:r w:rsidRPr="008C1BA2">
        <w:t>Poverty rates ranged from a low of</w:t>
      </w:r>
      <w:r w:rsidRPr="00C86FAC">
        <w:rPr>
          <w:rStyle w:val="Strong"/>
        </w:rPr>
        <w:t xml:space="preserve"> 5.3 per</w:t>
      </w:r>
      <w:r w:rsidRPr="00C86FAC">
        <w:rPr>
          <w:rStyle w:val="Strong"/>
        </w:rPr>
        <w:softHyphen/>
        <w:t xml:space="preserve">cent </w:t>
      </w:r>
      <w:r w:rsidRPr="008C1BA2">
        <w:t xml:space="preserve">in New Hampshire to a high of </w:t>
      </w:r>
      <w:r w:rsidRPr="00C86FAC">
        <w:rPr>
          <w:rStyle w:val="Strong"/>
        </w:rPr>
        <w:t>20.0 percent</w:t>
      </w:r>
      <w:r w:rsidRPr="008C1BA2">
        <w:t xml:space="preserve"> in Louisiana.</w:t>
      </w:r>
      <w:r w:rsidRPr="008C1BA2">
        <w:rPr>
          <w:rStyle w:val="A7"/>
          <w:rFonts w:cs="Arial"/>
          <w:sz w:val="22"/>
          <w:szCs w:val="22"/>
        </w:rPr>
        <w:t xml:space="preserve"> </w:t>
      </w:r>
      <w:r w:rsidRPr="008C1BA2">
        <w:t xml:space="preserve">Among the 50 states and the District of Columbia, 17 states had poverty rates lower than 11 percent, while only 4 states and the District of Columbia had poverty rates of 16 percent or higher. </w:t>
      </w:r>
    </w:p>
    <w:p w:rsidR="009013E4" w:rsidRPr="008C1BA2" w:rsidRDefault="009013E4" w:rsidP="00C81171">
      <w:pPr>
        <w:pStyle w:val="Default"/>
      </w:pPr>
    </w:p>
    <w:tbl>
      <w:tblPr>
        <w:tblStyle w:val="TableGrid"/>
        <w:tblW w:w="0" w:type="auto"/>
        <w:tblLook w:val="04A0" w:firstRow="1" w:lastRow="0" w:firstColumn="1" w:lastColumn="0" w:noHBand="0" w:noVBand="1"/>
        <w:tblCaption w:val="US and Montana Poverty 2000 and 2012"/>
        <w:tblDescription w:val="Statistics for: Area, Below Poverty in 2000, Below poverty in 2012, Change in povety (2012 less 2000)"/>
      </w:tblPr>
      <w:tblGrid>
        <w:gridCol w:w="2394"/>
        <w:gridCol w:w="2394"/>
        <w:gridCol w:w="2394"/>
        <w:gridCol w:w="2394"/>
      </w:tblGrid>
      <w:tr w:rsidR="005821D1" w:rsidTr="00C511FA">
        <w:trPr>
          <w:trHeight w:val="548"/>
          <w:tblHeader/>
        </w:trPr>
        <w:tc>
          <w:tcPr>
            <w:tcW w:w="2394" w:type="dxa"/>
          </w:tcPr>
          <w:p w:rsidR="005821D1" w:rsidRPr="00BB2E53" w:rsidRDefault="005821D1" w:rsidP="00BB2E53">
            <w:pPr>
              <w:rPr>
                <w:rStyle w:val="Strong"/>
              </w:rPr>
            </w:pPr>
            <w:r w:rsidRPr="00BB2E53">
              <w:rPr>
                <w:rStyle w:val="Strong"/>
              </w:rPr>
              <w:t>Area</w:t>
            </w:r>
          </w:p>
        </w:tc>
        <w:tc>
          <w:tcPr>
            <w:tcW w:w="2394" w:type="dxa"/>
          </w:tcPr>
          <w:p w:rsidR="005821D1" w:rsidRPr="00BB2E53" w:rsidRDefault="005821D1" w:rsidP="00BB2E53">
            <w:pPr>
              <w:rPr>
                <w:rStyle w:val="Strong"/>
              </w:rPr>
            </w:pPr>
            <w:r w:rsidRPr="00BB2E53">
              <w:rPr>
                <w:rStyle w:val="Strong"/>
              </w:rPr>
              <w:t>Below poverty in 2000</w:t>
            </w:r>
          </w:p>
        </w:tc>
        <w:tc>
          <w:tcPr>
            <w:tcW w:w="2394" w:type="dxa"/>
          </w:tcPr>
          <w:p w:rsidR="005821D1" w:rsidRPr="00BB2E53" w:rsidRDefault="005821D1" w:rsidP="00BB2E53">
            <w:pPr>
              <w:rPr>
                <w:rStyle w:val="Strong"/>
              </w:rPr>
            </w:pPr>
            <w:r w:rsidRPr="00BB2E53">
              <w:rPr>
                <w:rStyle w:val="Strong"/>
              </w:rPr>
              <w:t>Below poverty in 2012</w:t>
            </w:r>
          </w:p>
        </w:tc>
        <w:tc>
          <w:tcPr>
            <w:tcW w:w="2394" w:type="dxa"/>
          </w:tcPr>
          <w:p w:rsidR="005821D1" w:rsidRPr="00BB2E53" w:rsidRDefault="005821D1" w:rsidP="00BB2E53">
            <w:pPr>
              <w:rPr>
                <w:rStyle w:val="Strong"/>
              </w:rPr>
            </w:pPr>
            <w:r w:rsidRPr="00BB2E53">
              <w:rPr>
                <w:rStyle w:val="Strong"/>
              </w:rPr>
              <w:t xml:space="preserve">Change in poverty (2012 less 2000) </w:t>
            </w:r>
          </w:p>
        </w:tc>
      </w:tr>
      <w:tr w:rsidR="005821D1" w:rsidTr="00055F95">
        <w:tc>
          <w:tcPr>
            <w:tcW w:w="2394" w:type="dxa"/>
          </w:tcPr>
          <w:p w:rsidR="005821D1" w:rsidRPr="000F15F6" w:rsidRDefault="005821D1" w:rsidP="00BB2E53">
            <w:pPr>
              <w:rPr>
                <w:color w:val="262626" w:themeColor="text1" w:themeTint="D9"/>
              </w:rPr>
            </w:pPr>
            <w:r w:rsidRPr="000F15F6">
              <w:rPr>
                <w:bCs/>
                <w:color w:val="262626" w:themeColor="text1" w:themeTint="D9"/>
              </w:rPr>
              <w:t>United States</w:t>
            </w:r>
          </w:p>
          <w:p w:rsidR="005821D1" w:rsidRPr="000F15F6" w:rsidRDefault="005821D1" w:rsidP="00BB2E53">
            <w:pPr>
              <w:rPr>
                <w:color w:val="262626" w:themeColor="text1" w:themeTint="D9"/>
              </w:rPr>
            </w:pPr>
          </w:p>
        </w:tc>
        <w:tc>
          <w:tcPr>
            <w:tcW w:w="2394" w:type="dxa"/>
          </w:tcPr>
          <w:p w:rsidR="005821D1" w:rsidRPr="000F15F6" w:rsidRDefault="005821D1" w:rsidP="00BB2E53">
            <w:pPr>
              <w:rPr>
                <w:color w:val="262626" w:themeColor="text1" w:themeTint="D9"/>
              </w:rPr>
            </w:pPr>
            <w:r w:rsidRPr="000F15F6">
              <w:rPr>
                <w:bCs/>
                <w:color w:val="262626" w:themeColor="text1" w:themeTint="D9"/>
              </w:rPr>
              <w:t>33,311,473</w:t>
            </w:r>
          </w:p>
          <w:p w:rsidR="005821D1" w:rsidRPr="000F15F6" w:rsidRDefault="005821D1" w:rsidP="00BB2E53">
            <w:pPr>
              <w:rPr>
                <w:color w:val="262626" w:themeColor="text1" w:themeTint="D9"/>
              </w:rPr>
            </w:pPr>
          </w:p>
        </w:tc>
        <w:tc>
          <w:tcPr>
            <w:tcW w:w="2394" w:type="dxa"/>
          </w:tcPr>
          <w:p w:rsidR="005821D1" w:rsidRPr="000F15F6" w:rsidRDefault="005821D1" w:rsidP="00BB2E53">
            <w:pPr>
              <w:rPr>
                <w:color w:val="262626" w:themeColor="text1" w:themeTint="D9"/>
              </w:rPr>
            </w:pPr>
            <w:r w:rsidRPr="000F15F6">
              <w:rPr>
                <w:bCs/>
                <w:color w:val="262626" w:themeColor="text1" w:themeTint="D9"/>
              </w:rPr>
              <w:t>48,760,123</w:t>
            </w:r>
          </w:p>
        </w:tc>
        <w:tc>
          <w:tcPr>
            <w:tcW w:w="2394" w:type="dxa"/>
          </w:tcPr>
          <w:p w:rsidR="005821D1" w:rsidRPr="000F15F6" w:rsidRDefault="005821D1" w:rsidP="00BB2E53">
            <w:pPr>
              <w:rPr>
                <w:color w:val="262626" w:themeColor="text1" w:themeTint="D9"/>
              </w:rPr>
            </w:pPr>
            <w:r w:rsidRPr="000F15F6">
              <w:rPr>
                <w:bCs/>
                <w:color w:val="262626" w:themeColor="text1" w:themeTint="D9"/>
              </w:rPr>
              <w:t>15,448,650</w:t>
            </w:r>
          </w:p>
        </w:tc>
      </w:tr>
      <w:tr w:rsidR="005821D1" w:rsidTr="00055F95">
        <w:tc>
          <w:tcPr>
            <w:tcW w:w="2394" w:type="dxa"/>
          </w:tcPr>
          <w:p w:rsidR="005821D1" w:rsidRPr="000F15F6" w:rsidRDefault="005821D1" w:rsidP="00BB2E53">
            <w:pPr>
              <w:rPr>
                <w:color w:val="262626" w:themeColor="text1" w:themeTint="D9"/>
              </w:rPr>
            </w:pPr>
            <w:r w:rsidRPr="000F15F6">
              <w:rPr>
                <w:color w:val="262626" w:themeColor="text1" w:themeTint="D9"/>
              </w:rPr>
              <w:t>Montana</w:t>
            </w:r>
          </w:p>
          <w:p w:rsidR="005821D1" w:rsidRPr="000F15F6" w:rsidRDefault="005821D1" w:rsidP="00BB2E53">
            <w:pPr>
              <w:rPr>
                <w:color w:val="262626" w:themeColor="text1" w:themeTint="D9"/>
              </w:rPr>
            </w:pPr>
          </w:p>
        </w:tc>
        <w:tc>
          <w:tcPr>
            <w:tcW w:w="2394" w:type="dxa"/>
          </w:tcPr>
          <w:p w:rsidR="005821D1" w:rsidRPr="000F15F6" w:rsidRDefault="005821D1" w:rsidP="00BB2E53">
            <w:pPr>
              <w:rPr>
                <w:color w:val="262626" w:themeColor="text1" w:themeTint="D9"/>
              </w:rPr>
            </w:pPr>
            <w:r w:rsidRPr="000F15F6">
              <w:rPr>
                <w:color w:val="262626" w:themeColor="text1" w:themeTint="D9"/>
              </w:rPr>
              <w:t>117,262</w:t>
            </w:r>
          </w:p>
        </w:tc>
        <w:tc>
          <w:tcPr>
            <w:tcW w:w="2394" w:type="dxa"/>
          </w:tcPr>
          <w:p w:rsidR="005821D1" w:rsidRPr="000F15F6" w:rsidRDefault="005821D1" w:rsidP="00BB2E53">
            <w:pPr>
              <w:rPr>
                <w:color w:val="262626" w:themeColor="text1" w:themeTint="D9"/>
              </w:rPr>
            </w:pPr>
            <w:r w:rsidRPr="000F15F6">
              <w:rPr>
                <w:color w:val="262626" w:themeColor="text1" w:themeTint="D9"/>
              </w:rPr>
              <w:t>152,199</w:t>
            </w:r>
          </w:p>
        </w:tc>
        <w:tc>
          <w:tcPr>
            <w:tcW w:w="2394" w:type="dxa"/>
          </w:tcPr>
          <w:p w:rsidR="005821D1" w:rsidRPr="000F15F6" w:rsidRDefault="005821D1" w:rsidP="00BB2E53">
            <w:pPr>
              <w:rPr>
                <w:color w:val="262626" w:themeColor="text1" w:themeTint="D9"/>
              </w:rPr>
            </w:pPr>
            <w:r w:rsidRPr="000F15F6">
              <w:rPr>
                <w:color w:val="262626" w:themeColor="text1" w:themeTint="D9"/>
              </w:rPr>
              <w:t>34,937</w:t>
            </w:r>
          </w:p>
        </w:tc>
      </w:tr>
    </w:tbl>
    <w:p w:rsidR="005821D1" w:rsidRDefault="005821D1" w:rsidP="005821D1">
      <w:pPr>
        <w:pStyle w:val="Default"/>
        <w:ind w:left="360"/>
      </w:pPr>
    </w:p>
    <w:p w:rsidR="002C2969" w:rsidRPr="00635117" w:rsidRDefault="002C2969" w:rsidP="00C86FAC">
      <w:pPr>
        <w:pStyle w:val="Heading2"/>
      </w:pPr>
      <w:bookmarkStart w:id="14" w:name="_Toc403370670"/>
      <w:r w:rsidRPr="00635117">
        <w:t>Poverty among American Indians and Alaska Natives</w:t>
      </w:r>
      <w:bookmarkEnd w:id="14"/>
    </w:p>
    <w:p w:rsidR="002C2969" w:rsidRPr="005E5713" w:rsidRDefault="002C2969" w:rsidP="005821D1">
      <w:pPr>
        <w:pStyle w:val="Default"/>
        <w:ind w:left="360"/>
        <w:rPr>
          <w:rFonts w:ascii="Arial" w:hAnsi="Arial" w:cs="Arial"/>
          <w:color w:val="333333"/>
          <w:sz w:val="12"/>
          <w:szCs w:val="12"/>
        </w:rPr>
      </w:pPr>
    </w:p>
    <w:p w:rsidR="002C2969" w:rsidRDefault="002C2969" w:rsidP="00C86FAC">
      <w:pPr>
        <w:pStyle w:val="Default"/>
        <w:spacing w:after="120" w:line="276" w:lineRule="auto"/>
        <w:rPr>
          <w:rFonts w:ascii="Arial" w:hAnsi="Arial" w:cs="Arial"/>
          <w:color w:val="333333"/>
          <w:sz w:val="22"/>
          <w:szCs w:val="22"/>
        </w:rPr>
      </w:pPr>
      <w:r w:rsidRPr="00C86FAC">
        <w:rPr>
          <w:rFonts w:ascii="Arial" w:hAnsi="Arial" w:cs="Arial"/>
          <w:sz w:val="22"/>
          <w:szCs w:val="22"/>
        </w:rPr>
        <w:t>Nine states had poverty rates of about 30 percent or more for American Indians and Alaska Natives (Arizona, Maine, Minnesota, Montana, Nebraska, New Mexico, North Dakota, South Dakota and Utah).</w:t>
      </w:r>
      <w:r>
        <w:rPr>
          <w:rStyle w:val="FootnoteReference"/>
          <w:rFonts w:ascii="Arial" w:hAnsi="Arial" w:cs="Arial"/>
          <w:color w:val="333333"/>
          <w:sz w:val="22"/>
          <w:szCs w:val="22"/>
        </w:rPr>
        <w:footnoteReference w:id="12"/>
      </w:r>
    </w:p>
    <w:p w:rsidR="00543B4C" w:rsidRPr="00543B4C" w:rsidRDefault="00543B4C" w:rsidP="00BC4B39">
      <w:r>
        <w:t>Two racial</w:t>
      </w:r>
      <w:r w:rsidRPr="00543B4C">
        <w:t xml:space="preserve"> groups had poverty rates more than 10 percentage points higher than the national rate of 14.3 percent: American Indian and Alaska Native (27.0 percent) and black or African- American (25.8 percent). Rates were above the overall national average for Native Hawaiians</w:t>
      </w:r>
      <w:r>
        <w:t xml:space="preserve"> </w:t>
      </w:r>
      <w:r w:rsidRPr="00543B4C">
        <w:lastRenderedPageBreak/>
        <w:t>and Other Pacific Islanders (17.6 percent), while poverty rates for people identified as white (11.6 percent) or Asian (11.7 percent) were lower than the overall poverty rate. Poverty rates for</w:t>
      </w:r>
    </w:p>
    <w:p w:rsidR="00741A3C" w:rsidRPr="00C86FAC" w:rsidRDefault="00543B4C" w:rsidP="00C86FAC">
      <w:pPr>
        <w:rPr>
          <w:b/>
        </w:rPr>
      </w:pPr>
      <w:r w:rsidRPr="00C86FAC">
        <w:t>W</w:t>
      </w:r>
      <w:r w:rsidR="004D5784" w:rsidRPr="00C86FAC">
        <w:t>hites and Asians were not statistically different from each other. The Hispanic population had a poverty rate of 23.2 percent, about nine percentage points higher than the overall U.S. rate</w:t>
      </w:r>
      <w:r w:rsidR="00741A3C" w:rsidRPr="00C86FAC">
        <w:t>.</w:t>
      </w:r>
      <w:r w:rsidR="004D5784" w:rsidRPr="00C86FAC">
        <w:rPr>
          <w:rStyle w:val="FootnoteReference"/>
          <w:rFonts w:cs="Arial"/>
          <w:b/>
          <w:color w:val="333333"/>
        </w:rPr>
        <w:footnoteReference w:id="13"/>
      </w:r>
    </w:p>
    <w:p w:rsidR="00820846" w:rsidRPr="008418AB" w:rsidRDefault="00741A3C" w:rsidP="008418AB">
      <w:pPr>
        <w:rPr>
          <w:rFonts w:ascii="Helvetica" w:eastAsia="Times New Roman" w:hAnsi="Helvetica" w:cs="Times New Roman"/>
          <w:color w:val="373737"/>
          <w:sz w:val="23"/>
          <w:szCs w:val="23"/>
        </w:rPr>
      </w:pPr>
      <w:r w:rsidRPr="00C86FAC">
        <w:rPr>
          <w:rFonts w:ascii="Helvetica" w:eastAsia="Times New Roman" w:hAnsi="Helvetica" w:cs="Times New Roman"/>
          <w:color w:val="373737"/>
          <w:sz w:val="23"/>
          <w:szCs w:val="23"/>
        </w:rPr>
        <w:t xml:space="preserve">For example: In Montana, the Crow Nation covers 9,341 square miles with a population of about 7,000. </w:t>
      </w:r>
      <w:r w:rsidRPr="00C86FAC">
        <w:rPr>
          <w:rFonts w:eastAsia="Times New Roman"/>
          <w:color w:val="373737"/>
          <w:sz w:val="23"/>
          <w:szCs w:val="23"/>
        </w:rPr>
        <w:t>About one-third of the families on the reservation</w:t>
      </w:r>
      <w:r w:rsidRPr="00C86FAC">
        <w:rPr>
          <w:rFonts w:eastAsia="Times New Roman"/>
          <w:b/>
          <w:color w:val="373737"/>
          <w:sz w:val="23"/>
          <w:szCs w:val="23"/>
        </w:rPr>
        <w:t xml:space="preserve"> </w:t>
      </w:r>
      <w:r w:rsidRPr="00C86FAC">
        <w:rPr>
          <w:rStyle w:val="Strong"/>
        </w:rPr>
        <w:t>(32%)</w:t>
      </w:r>
      <w:r w:rsidRPr="00C86FAC">
        <w:rPr>
          <w:rFonts w:eastAsia="Times New Roman"/>
          <w:b/>
          <w:color w:val="373737"/>
          <w:sz w:val="23"/>
          <w:szCs w:val="23"/>
        </w:rPr>
        <w:t xml:space="preserve"> </w:t>
      </w:r>
      <w:r w:rsidRPr="00C86FAC">
        <w:rPr>
          <w:rFonts w:eastAsia="Times New Roman"/>
          <w:color w:val="373737"/>
          <w:sz w:val="23"/>
          <w:szCs w:val="23"/>
        </w:rPr>
        <w:t>live in poverty with</w:t>
      </w:r>
      <w:r w:rsidRPr="00C86FAC">
        <w:rPr>
          <w:rFonts w:eastAsia="Times New Roman"/>
          <w:b/>
          <w:color w:val="373737"/>
          <w:sz w:val="23"/>
          <w:szCs w:val="23"/>
        </w:rPr>
        <w:t xml:space="preserve"> </w:t>
      </w:r>
      <w:r w:rsidRPr="00C86FAC">
        <w:rPr>
          <w:rStyle w:val="Strong"/>
        </w:rPr>
        <w:t>10%</w:t>
      </w:r>
      <w:r w:rsidRPr="00C86FAC">
        <w:rPr>
          <w:rFonts w:eastAsia="Times New Roman"/>
          <w:b/>
          <w:color w:val="373737"/>
          <w:sz w:val="23"/>
          <w:szCs w:val="23"/>
        </w:rPr>
        <w:t xml:space="preserve"> </w:t>
      </w:r>
      <w:r w:rsidRPr="00C86FAC">
        <w:rPr>
          <w:rFonts w:eastAsia="Times New Roman"/>
          <w:color w:val="373737"/>
          <w:sz w:val="23"/>
          <w:szCs w:val="23"/>
        </w:rPr>
        <w:t>living in extreme poverty. The official unemployment rate is 10.5% with 39% of all adults out of the labor force. With regard to education, 31% have at least a high school education.</w:t>
      </w:r>
      <w:r w:rsidRPr="00C86FAC">
        <w:rPr>
          <w:rFonts w:ascii="Helvetica" w:eastAsia="Times New Roman" w:hAnsi="Helvetica" w:cs="Times New Roman"/>
          <w:color w:val="373737"/>
          <w:sz w:val="23"/>
          <w:szCs w:val="23"/>
        </w:rPr>
        <w:t xml:space="preserve"> </w:t>
      </w:r>
    </w:p>
    <w:p w:rsidR="009F5B01" w:rsidRPr="00C162C1" w:rsidRDefault="009F5B01" w:rsidP="00C162C1">
      <w:pPr>
        <w:pStyle w:val="Heading3"/>
        <w:rPr>
          <w:rFonts w:eastAsiaTheme="minorHAnsi" w:cs="Arial"/>
        </w:rPr>
      </w:pPr>
      <w:bookmarkStart w:id="15" w:name="_Toc403370671"/>
      <w:r w:rsidRPr="00C162C1">
        <w:rPr>
          <w:rFonts w:eastAsiaTheme="majorEastAsia"/>
        </w:rPr>
        <w:t>U.S. 65 and over Population</w:t>
      </w:r>
      <w:r w:rsidRPr="00C162C1">
        <w:rPr>
          <w:rFonts w:eastAsiaTheme="minorHAnsi"/>
          <w:vertAlign w:val="superscript"/>
        </w:rPr>
        <w:footnoteReference w:id="14"/>
      </w:r>
      <w:bookmarkEnd w:id="15"/>
    </w:p>
    <w:p w:rsidR="00872811" w:rsidRPr="0067508A" w:rsidRDefault="009F5B01" w:rsidP="00C86FAC">
      <w:pPr>
        <w:rPr>
          <w:rFonts w:eastAsiaTheme="minorHAnsi"/>
        </w:rPr>
      </w:pPr>
      <w:r w:rsidRPr="0067508A">
        <w:rPr>
          <w:rFonts w:eastAsiaTheme="minorHAnsi"/>
        </w:rPr>
        <w:t>The current growth in the number and proportion of older adults in the United States is unprecedented in our nation’s history. By 2050, it is anticipated that Americans aged 65 or older will number nearly 89 million people, or more than double the number of older adults in the United States in 2010.</w:t>
      </w:r>
      <w:r w:rsidR="00872811" w:rsidRPr="0067508A">
        <w:rPr>
          <w:rFonts w:eastAsiaTheme="minorHAnsi"/>
        </w:rPr>
        <w:t xml:space="preserve"> </w:t>
      </w:r>
      <w:r w:rsidRPr="0067508A">
        <w:rPr>
          <w:rFonts w:eastAsiaTheme="minorHAnsi"/>
        </w:rPr>
        <w:t xml:space="preserve">The rapid aging of the U.S. population is being driven by two realities: Americans are living longer lives than in previous decades and, given the post-World War II baby boom, there are proportionately more older adults than in previous generations. Many Americans are now living into their 70s, 80s, and beyond. </w:t>
      </w:r>
    </w:p>
    <w:p w:rsidR="009F5B01" w:rsidRPr="0067508A" w:rsidRDefault="009F5B01" w:rsidP="00C86FAC">
      <w:pPr>
        <w:rPr>
          <w:rFonts w:eastAsiaTheme="minorHAnsi"/>
        </w:rPr>
      </w:pPr>
      <w:r w:rsidRPr="0067508A">
        <w:rPr>
          <w:rFonts w:eastAsiaTheme="minorHAnsi"/>
        </w:rPr>
        <w:t>The leading edge of the baby boomers reached age 65 in 2011, launching an unparalleled phenomenon in the United States. Since January 1, 2011, and each and every day for the next 20 years, roughly 10,000 Americans will celebrate their 65th birthdays. In 2030, when the last baby boomer turns 65, the demographic landscape of our nation will have changed significantly. One of every five Americans—about 72 million people—will be an older adult.</w:t>
      </w:r>
    </w:p>
    <w:p w:rsidR="00C162C1" w:rsidRDefault="00D81E5C" w:rsidP="00C86FAC">
      <w:pPr>
        <w:rPr>
          <w:rFonts w:eastAsiaTheme="minorHAnsi"/>
        </w:rPr>
        <w:sectPr w:rsidR="00C162C1" w:rsidSect="00A07593">
          <w:pgSz w:w="12240" w:h="15840"/>
          <w:pgMar w:top="1440" w:right="1440" w:bottom="1440" w:left="1440" w:header="720" w:footer="720" w:gutter="0"/>
          <w:cols w:space="720"/>
          <w:docGrid w:linePitch="360"/>
        </w:sectPr>
      </w:pPr>
      <w:r w:rsidRPr="0067508A">
        <w:rPr>
          <w:rFonts w:eastAsiaTheme="minorHAnsi"/>
        </w:rPr>
        <w:t>The aging of our population has wide-ranging implications for virtually every facet of American society. At each point in the lifespan of baby boomers, the United States has felt and been changed by the impact of their numbers and needs—from booming sales in commercial baby food during the late 1940s, to the construction of thousands of new schools during the 1950s, to the housing construction boom of the 1970s and 1980s. The significant proportion of Americans represented by the baby boomers continues to exert its influence. In large measure, this influence will have its most profound effects on our nation’s public health, social services, and health care systems. Public health plays a key role in advocating for those in need, linking individuals and communities to available services, and promoting healthy aging because of its effects on personal, societal, cultural, economic, and environmental factors. The public health sector is ideally positioned to meet the growing needs and demands of a rapidly aging nation</w:t>
      </w:r>
      <w:r w:rsidR="00C86FAC">
        <w:rPr>
          <w:rFonts w:eastAsiaTheme="minorHAnsi"/>
        </w:rPr>
        <w:t>.</w:t>
      </w:r>
    </w:p>
    <w:p w:rsidR="00D81E5C" w:rsidRPr="00C86FAC" w:rsidRDefault="00D81E5C" w:rsidP="00C86FAC">
      <w:pPr>
        <w:rPr>
          <w:rFonts w:eastAsiaTheme="minorHAnsi"/>
        </w:rPr>
      </w:pPr>
    </w:p>
    <w:p w:rsidR="003E598A" w:rsidRPr="00C162C1" w:rsidRDefault="003E598A" w:rsidP="00C162C1">
      <w:pPr>
        <w:pStyle w:val="Heading3"/>
        <w:rPr>
          <w:vertAlign w:val="superscript"/>
        </w:rPr>
      </w:pPr>
      <w:bookmarkStart w:id="16" w:name="_Toc403370672"/>
      <w:r w:rsidRPr="00C162C1">
        <w:rPr>
          <w:rStyle w:val="Heading2Char"/>
          <w:rFonts w:cs="Times New Roman"/>
          <w:b/>
          <w:bCs/>
          <w:color w:val="1F497D" w:themeColor="text2"/>
          <w:sz w:val="27"/>
          <w:szCs w:val="27"/>
        </w:rPr>
        <w:t>The State of Aging and Health in America 2013</w:t>
      </w:r>
      <w:r w:rsidRPr="00C162C1">
        <w:rPr>
          <w:rStyle w:val="FootnoteReference"/>
        </w:rPr>
        <w:footnoteReference w:id="15"/>
      </w:r>
      <w:bookmarkEnd w:id="16"/>
    </w:p>
    <w:p w:rsidR="003E598A" w:rsidRDefault="003E598A" w:rsidP="00C86FAC">
      <w:r>
        <w:t xml:space="preserve">’Twentieth-century advances in protecting and promoting health among older adults have provided many opportunities for overcoming the challenges of an aging society. The health indicators presented in The State of Aging and Health in America 2013 highlight these opportunities. By working to meet the goals for each of these key indicators, our nation can help to ensure that all of its citizens can look forward to living longer and living well.” </w:t>
      </w:r>
    </w:p>
    <w:p w:rsidR="001D43D1" w:rsidRDefault="003E598A" w:rsidP="00C86FAC">
      <w:r>
        <w:t xml:space="preserve">The report “provides a snapshot of our nation’s progress in promoting prevention, improving the health and well-being of older adults, and reducing behaviors that contribute to premature death and disability. In addition, the report highlights mobility (referring to movement in all of its forms) and how optimal mobility is fundamental to healthy aging. </w:t>
      </w:r>
    </w:p>
    <w:p w:rsidR="003E598A" w:rsidRPr="004C29B2" w:rsidRDefault="003E598A" w:rsidP="004C29B2">
      <w:pPr>
        <w:rPr>
          <w:rStyle w:val="Strong"/>
        </w:rPr>
      </w:pPr>
      <w:r w:rsidRPr="004C29B2">
        <w:rPr>
          <w:rStyle w:val="Strong"/>
        </w:rPr>
        <w:t xml:space="preserve">Demographic changes create an urgent need </w:t>
      </w:r>
    </w:p>
    <w:p w:rsidR="009B0BDA" w:rsidRPr="00EF5C74" w:rsidRDefault="009B0BDA" w:rsidP="00EF5C74">
      <w:r>
        <w:t>The growth in the number and proportion of older adults is unprecedented in the history of the United States.  Two factors—longer life spans and aging baby boomers—will combine to double the population of Americans aged 65 years or older during the next 25 years to about 72 million. By 2030, older adults will account for roughly 20% of the U.S. population.</w:t>
      </w:r>
    </w:p>
    <w:p w:rsidR="0067508A" w:rsidRPr="004C29B2" w:rsidRDefault="003E598A" w:rsidP="004C29B2">
      <w:pPr>
        <w:rPr>
          <w:rStyle w:val="Strong"/>
        </w:rPr>
      </w:pPr>
      <w:r w:rsidRPr="004C29B2">
        <w:rPr>
          <w:rStyle w:val="Strong"/>
        </w:rPr>
        <w:t xml:space="preserve">Chronic conditions present a strong economic incentive for action </w:t>
      </w:r>
    </w:p>
    <w:p w:rsidR="001D43D1" w:rsidRDefault="003E598A" w:rsidP="00C86FAC">
      <w:r>
        <w:t xml:space="preserve">During the past century, a major shift occurred in the leading causes of death for all age groups, including older adults, from infectious diseases and acute illnesses to chronic diseases and degenerative illnesses. More than a quarter of all Americans and two out of every three older Americans have multiple chronic conditions, and treatment for this population accounts for 66% of the country’s health care budget. </w:t>
      </w:r>
    </w:p>
    <w:p w:rsidR="001D43D1" w:rsidRPr="004C29B2" w:rsidRDefault="003E598A" w:rsidP="004C29B2">
      <w:pPr>
        <w:rPr>
          <w:rStyle w:val="Strong"/>
        </w:rPr>
      </w:pPr>
      <w:r w:rsidRPr="004C29B2">
        <w:rPr>
          <w:rStyle w:val="Strong"/>
        </w:rPr>
        <w:t xml:space="preserve">The Report Cards </w:t>
      </w:r>
    </w:p>
    <w:p w:rsidR="003E598A" w:rsidRDefault="003E598A" w:rsidP="00C86FAC">
      <w:pPr>
        <w:rPr>
          <w:rFonts w:ascii="ITC Garamond Std" w:hAnsi="ITC Garamond Std" w:cs="ITC Garamond Std"/>
        </w:rPr>
      </w:pPr>
      <w:r>
        <w:t xml:space="preserve">The National Report Card on Healthy Aging reports on 15 indicators of older adult health, 8 of which are identified in Healthy People 2020, the national health agenda of the U.S. Department of Health and Human Services. These 15 indicators are grouped into 4 areas: Health Status, Health Behaviors, Preventive Care and Screening, and Injuries. In addition, the report assigns a “met” or “not met” score to states on the basis of their attainment of Healthy People 2020 targets. </w:t>
      </w:r>
    </w:p>
    <w:p w:rsidR="00820846" w:rsidRPr="006407EB" w:rsidRDefault="003E598A" w:rsidP="00606F88">
      <w:r>
        <w:t xml:space="preserve">For most indicators, the Behavioral Risk Factor Surveillance System (BRFSS) is </w:t>
      </w:r>
      <w:r w:rsidRPr="000153AB">
        <w:rPr>
          <w:b/>
          <w:i/>
          <w:color w:val="000000" w:themeColor="text1"/>
        </w:rPr>
        <w:t>not</w:t>
      </w:r>
      <w:r w:rsidRPr="000153AB">
        <w:rPr>
          <w:color w:val="000000" w:themeColor="text1"/>
        </w:rPr>
        <w:t xml:space="preserve"> </w:t>
      </w:r>
      <w:r>
        <w:t>the official data source for tracking Healthy People 2020 targets. Some of these targets are for all adults aged 18 or older, not just those aged 65 years or older. For this report, we use BRFSS data to report how well states are doing in meeting Healthy People 2020 targets for their older adult populations. Taken together, these indicators present a comprehensive picture of older adult healt</w:t>
      </w:r>
      <w:r w:rsidR="006407EB">
        <w:t xml:space="preserve">h in the United States. </w:t>
      </w:r>
    </w:p>
    <w:p w:rsidR="00C068DD" w:rsidRPr="00303073" w:rsidRDefault="009D6F4B" w:rsidP="00606F88">
      <w:pPr>
        <w:pStyle w:val="Caption"/>
        <w:rPr>
          <w:i/>
        </w:rPr>
      </w:pPr>
      <w:r>
        <w:lastRenderedPageBreak/>
        <w:t>Table</w:t>
      </w:r>
      <w:r w:rsidR="00C068DD" w:rsidRPr="00303073">
        <w:t>: Life Expectancy at birth, at age 65, and at age 75, by Sex</w:t>
      </w:r>
      <w:r w:rsidR="00C068DD" w:rsidRPr="00303073">
        <w:rPr>
          <w:rStyle w:val="FootnoteReference"/>
          <w:rFonts w:cs="Arial"/>
          <w:b w:val="0"/>
          <w:i/>
          <w:szCs w:val="24"/>
        </w:rPr>
        <w:footnoteReference w:id="16"/>
      </w:r>
    </w:p>
    <w:tbl>
      <w:tblPr>
        <w:tblStyle w:val="TableGrid"/>
        <w:tblW w:w="0" w:type="auto"/>
        <w:tblLook w:val="04A0" w:firstRow="1" w:lastRow="0" w:firstColumn="1" w:lastColumn="0" w:noHBand="0" w:noVBand="1"/>
        <w:tblCaption w:val="Table: Life Expectancy at birth, at age 65, and at age 75, by Sex"/>
        <w:tblDescription w:val="Statistics for year of birth, both sexes, male, and female"/>
      </w:tblPr>
      <w:tblGrid>
        <w:gridCol w:w="2286"/>
        <w:gridCol w:w="2394"/>
        <w:gridCol w:w="2394"/>
        <w:gridCol w:w="2394"/>
      </w:tblGrid>
      <w:tr w:rsidR="00C068DD" w:rsidTr="00C511FA">
        <w:trPr>
          <w:trHeight w:val="368"/>
          <w:tblHeader/>
        </w:trPr>
        <w:tc>
          <w:tcPr>
            <w:tcW w:w="2286" w:type="dxa"/>
          </w:tcPr>
          <w:p w:rsidR="00C068DD" w:rsidRPr="006407EB" w:rsidRDefault="00C068DD" w:rsidP="006407EB">
            <w:pPr>
              <w:rPr>
                <w:rStyle w:val="Strong"/>
              </w:rPr>
            </w:pPr>
            <w:r w:rsidRPr="006407EB">
              <w:rPr>
                <w:rStyle w:val="Strong"/>
              </w:rPr>
              <w:t>At birth</w:t>
            </w:r>
          </w:p>
        </w:tc>
        <w:tc>
          <w:tcPr>
            <w:tcW w:w="2394" w:type="dxa"/>
          </w:tcPr>
          <w:p w:rsidR="00C068DD" w:rsidRPr="006407EB" w:rsidRDefault="00C068DD" w:rsidP="006407EB">
            <w:pPr>
              <w:rPr>
                <w:rStyle w:val="Strong"/>
              </w:rPr>
            </w:pPr>
            <w:r w:rsidRPr="006407EB">
              <w:rPr>
                <w:rStyle w:val="Strong"/>
              </w:rPr>
              <w:t>Both Sexes</w:t>
            </w:r>
          </w:p>
        </w:tc>
        <w:tc>
          <w:tcPr>
            <w:tcW w:w="2394" w:type="dxa"/>
          </w:tcPr>
          <w:p w:rsidR="00C068DD" w:rsidRPr="006407EB" w:rsidRDefault="00C068DD" w:rsidP="006407EB">
            <w:pPr>
              <w:rPr>
                <w:rStyle w:val="Strong"/>
              </w:rPr>
            </w:pPr>
            <w:r w:rsidRPr="006407EB">
              <w:rPr>
                <w:rStyle w:val="Strong"/>
              </w:rPr>
              <w:t>Male</w:t>
            </w:r>
          </w:p>
        </w:tc>
        <w:tc>
          <w:tcPr>
            <w:tcW w:w="2394" w:type="dxa"/>
          </w:tcPr>
          <w:p w:rsidR="00C068DD" w:rsidRPr="006407EB" w:rsidRDefault="00C068DD" w:rsidP="006407EB">
            <w:pPr>
              <w:rPr>
                <w:rStyle w:val="Strong"/>
              </w:rPr>
            </w:pPr>
            <w:r w:rsidRPr="006407EB">
              <w:rPr>
                <w:rStyle w:val="Strong"/>
              </w:rPr>
              <w:t>Female</w:t>
            </w:r>
          </w:p>
        </w:tc>
      </w:tr>
      <w:tr w:rsidR="00C068DD" w:rsidTr="008527A0">
        <w:tc>
          <w:tcPr>
            <w:tcW w:w="2286" w:type="dxa"/>
          </w:tcPr>
          <w:p w:rsidR="00C068DD" w:rsidRPr="004F7510" w:rsidRDefault="00C068DD" w:rsidP="006407EB">
            <w:pPr>
              <w:rPr>
                <w:rFonts w:ascii="Verdana" w:hAnsi="Verdana"/>
                <w:sz w:val="28"/>
                <w:szCs w:val="28"/>
              </w:rPr>
            </w:pPr>
            <w:r w:rsidRPr="004F7510">
              <w:t>1900</w:t>
            </w:r>
          </w:p>
        </w:tc>
        <w:tc>
          <w:tcPr>
            <w:tcW w:w="2394" w:type="dxa"/>
          </w:tcPr>
          <w:p w:rsidR="00C068DD" w:rsidRPr="004F7510" w:rsidRDefault="00C068DD" w:rsidP="006407EB">
            <w:r w:rsidRPr="004F7510">
              <w:t>47.3</w:t>
            </w:r>
          </w:p>
        </w:tc>
        <w:tc>
          <w:tcPr>
            <w:tcW w:w="2394" w:type="dxa"/>
          </w:tcPr>
          <w:p w:rsidR="00C068DD" w:rsidRPr="004F7510" w:rsidRDefault="00C068DD" w:rsidP="006407EB">
            <w:r w:rsidRPr="004F7510">
              <w:t>46.3</w:t>
            </w:r>
          </w:p>
        </w:tc>
        <w:tc>
          <w:tcPr>
            <w:tcW w:w="2394" w:type="dxa"/>
          </w:tcPr>
          <w:p w:rsidR="00C068DD" w:rsidRPr="004F7510" w:rsidRDefault="00C068DD" w:rsidP="006407EB">
            <w:r w:rsidRPr="004F7510">
              <w:t>48.3</w:t>
            </w:r>
          </w:p>
        </w:tc>
      </w:tr>
      <w:tr w:rsidR="00C068DD" w:rsidTr="008527A0">
        <w:tc>
          <w:tcPr>
            <w:tcW w:w="2286" w:type="dxa"/>
          </w:tcPr>
          <w:p w:rsidR="00C068DD" w:rsidRPr="004F7510" w:rsidRDefault="00C068DD" w:rsidP="006407EB">
            <w:r w:rsidRPr="004F7510">
              <w:t>1950</w:t>
            </w:r>
          </w:p>
        </w:tc>
        <w:tc>
          <w:tcPr>
            <w:tcW w:w="2394" w:type="dxa"/>
          </w:tcPr>
          <w:p w:rsidR="00C068DD" w:rsidRPr="004F7510" w:rsidRDefault="00C068DD" w:rsidP="006407EB">
            <w:r w:rsidRPr="004F7510">
              <w:t>68.2</w:t>
            </w:r>
          </w:p>
        </w:tc>
        <w:tc>
          <w:tcPr>
            <w:tcW w:w="2394" w:type="dxa"/>
          </w:tcPr>
          <w:p w:rsidR="00C068DD" w:rsidRPr="004F7510" w:rsidRDefault="00C068DD" w:rsidP="006407EB">
            <w:r w:rsidRPr="004F7510">
              <w:t>65.6</w:t>
            </w:r>
          </w:p>
        </w:tc>
        <w:tc>
          <w:tcPr>
            <w:tcW w:w="2394" w:type="dxa"/>
          </w:tcPr>
          <w:p w:rsidR="00C068DD" w:rsidRPr="004F7510" w:rsidRDefault="00C068DD" w:rsidP="006407EB">
            <w:r w:rsidRPr="004F7510">
              <w:t>71.1</w:t>
            </w:r>
          </w:p>
        </w:tc>
      </w:tr>
      <w:tr w:rsidR="00C068DD" w:rsidRPr="004F7510" w:rsidTr="008527A0">
        <w:tc>
          <w:tcPr>
            <w:tcW w:w="2286" w:type="dxa"/>
          </w:tcPr>
          <w:p w:rsidR="00C068DD" w:rsidRPr="004F7510" w:rsidRDefault="00C068DD" w:rsidP="006407EB">
            <w:r w:rsidRPr="004F7510">
              <w:t>2000</w:t>
            </w:r>
          </w:p>
        </w:tc>
        <w:tc>
          <w:tcPr>
            <w:tcW w:w="2394" w:type="dxa"/>
          </w:tcPr>
          <w:p w:rsidR="00C068DD" w:rsidRPr="004F7510" w:rsidRDefault="00C068DD" w:rsidP="006407EB">
            <w:r w:rsidRPr="004F7510">
              <w:t>76.8</w:t>
            </w:r>
          </w:p>
        </w:tc>
        <w:tc>
          <w:tcPr>
            <w:tcW w:w="2394" w:type="dxa"/>
          </w:tcPr>
          <w:p w:rsidR="00C068DD" w:rsidRPr="004F7510" w:rsidRDefault="00C068DD" w:rsidP="006407EB">
            <w:r w:rsidRPr="004F7510">
              <w:t>74.1</w:t>
            </w:r>
          </w:p>
        </w:tc>
        <w:tc>
          <w:tcPr>
            <w:tcW w:w="2394" w:type="dxa"/>
          </w:tcPr>
          <w:p w:rsidR="00C068DD" w:rsidRPr="004F7510" w:rsidRDefault="00C068DD" w:rsidP="006407EB">
            <w:r w:rsidRPr="004F7510">
              <w:t>79.3</w:t>
            </w:r>
          </w:p>
        </w:tc>
      </w:tr>
      <w:tr w:rsidR="00C068DD" w:rsidRPr="004F7510" w:rsidTr="008527A0">
        <w:tc>
          <w:tcPr>
            <w:tcW w:w="2286" w:type="dxa"/>
          </w:tcPr>
          <w:p w:rsidR="00C068DD" w:rsidRPr="004F7510" w:rsidRDefault="00C068DD" w:rsidP="006407EB">
            <w:r w:rsidRPr="004F7510">
              <w:t>2010</w:t>
            </w:r>
          </w:p>
        </w:tc>
        <w:tc>
          <w:tcPr>
            <w:tcW w:w="2394" w:type="dxa"/>
          </w:tcPr>
          <w:p w:rsidR="00C068DD" w:rsidRPr="004F7510" w:rsidRDefault="00C068DD" w:rsidP="006407EB">
            <w:r w:rsidRPr="004F7510">
              <w:t>78.7</w:t>
            </w:r>
          </w:p>
        </w:tc>
        <w:tc>
          <w:tcPr>
            <w:tcW w:w="2394" w:type="dxa"/>
          </w:tcPr>
          <w:p w:rsidR="00C068DD" w:rsidRPr="004F7510" w:rsidRDefault="00C068DD" w:rsidP="006407EB">
            <w:r w:rsidRPr="004F7510">
              <w:t>76.2</w:t>
            </w:r>
          </w:p>
        </w:tc>
        <w:tc>
          <w:tcPr>
            <w:tcW w:w="2394" w:type="dxa"/>
          </w:tcPr>
          <w:p w:rsidR="00C068DD" w:rsidRPr="004F7510" w:rsidRDefault="00C068DD" w:rsidP="006407EB">
            <w:r w:rsidRPr="004F7510">
              <w:t>81.0</w:t>
            </w:r>
          </w:p>
        </w:tc>
      </w:tr>
      <w:tr w:rsidR="00C068DD" w:rsidRPr="004F7510" w:rsidTr="008527A0">
        <w:trPr>
          <w:trHeight w:val="287"/>
        </w:trPr>
        <w:tc>
          <w:tcPr>
            <w:tcW w:w="2286" w:type="dxa"/>
          </w:tcPr>
          <w:p w:rsidR="00C068DD" w:rsidRPr="006407EB" w:rsidRDefault="00C068DD" w:rsidP="006407EB">
            <w:pPr>
              <w:rPr>
                <w:rStyle w:val="Strong"/>
              </w:rPr>
            </w:pPr>
            <w:r w:rsidRPr="006407EB">
              <w:rPr>
                <w:rStyle w:val="Strong"/>
              </w:rPr>
              <w:t>At Age 65</w:t>
            </w:r>
          </w:p>
        </w:tc>
        <w:tc>
          <w:tcPr>
            <w:tcW w:w="2394" w:type="dxa"/>
          </w:tcPr>
          <w:p w:rsidR="00C068DD" w:rsidRPr="006407EB" w:rsidRDefault="00C068DD" w:rsidP="006407EB">
            <w:pPr>
              <w:rPr>
                <w:rStyle w:val="Strong"/>
              </w:rPr>
            </w:pPr>
            <w:r w:rsidRPr="006407EB">
              <w:rPr>
                <w:rStyle w:val="Strong"/>
              </w:rPr>
              <w:t>Both Sexes</w:t>
            </w:r>
          </w:p>
        </w:tc>
        <w:tc>
          <w:tcPr>
            <w:tcW w:w="2394" w:type="dxa"/>
          </w:tcPr>
          <w:p w:rsidR="00C068DD" w:rsidRPr="006407EB" w:rsidRDefault="00C068DD" w:rsidP="006407EB">
            <w:pPr>
              <w:rPr>
                <w:rStyle w:val="Strong"/>
              </w:rPr>
            </w:pPr>
            <w:r w:rsidRPr="006407EB">
              <w:rPr>
                <w:rStyle w:val="Strong"/>
              </w:rPr>
              <w:t>Male</w:t>
            </w:r>
          </w:p>
        </w:tc>
        <w:tc>
          <w:tcPr>
            <w:tcW w:w="2394" w:type="dxa"/>
          </w:tcPr>
          <w:p w:rsidR="00C068DD" w:rsidRPr="006407EB" w:rsidRDefault="00C068DD" w:rsidP="006407EB">
            <w:pPr>
              <w:rPr>
                <w:rStyle w:val="Strong"/>
              </w:rPr>
            </w:pPr>
            <w:r w:rsidRPr="006407EB">
              <w:rPr>
                <w:rStyle w:val="Strong"/>
              </w:rPr>
              <w:t>Female</w:t>
            </w:r>
          </w:p>
        </w:tc>
      </w:tr>
      <w:tr w:rsidR="00C068DD" w:rsidRPr="004F7510" w:rsidTr="008527A0">
        <w:tc>
          <w:tcPr>
            <w:tcW w:w="2286" w:type="dxa"/>
          </w:tcPr>
          <w:p w:rsidR="00C068DD" w:rsidRPr="002A424A" w:rsidRDefault="00C068DD" w:rsidP="006407EB">
            <w:r w:rsidRPr="002A424A">
              <w:t>1950</w:t>
            </w:r>
          </w:p>
        </w:tc>
        <w:tc>
          <w:tcPr>
            <w:tcW w:w="2394" w:type="dxa"/>
          </w:tcPr>
          <w:p w:rsidR="00C068DD" w:rsidRPr="002A424A" w:rsidRDefault="00C068DD" w:rsidP="006407EB">
            <w:r w:rsidRPr="002A424A">
              <w:t>13.9</w:t>
            </w:r>
          </w:p>
        </w:tc>
        <w:tc>
          <w:tcPr>
            <w:tcW w:w="2394" w:type="dxa"/>
          </w:tcPr>
          <w:p w:rsidR="00C068DD" w:rsidRPr="002A424A" w:rsidRDefault="00C068DD" w:rsidP="006407EB">
            <w:r>
              <w:t>12.8</w:t>
            </w:r>
          </w:p>
        </w:tc>
        <w:tc>
          <w:tcPr>
            <w:tcW w:w="2394" w:type="dxa"/>
          </w:tcPr>
          <w:p w:rsidR="00C068DD" w:rsidRPr="002A424A" w:rsidRDefault="00C068DD" w:rsidP="006407EB">
            <w:r>
              <w:t>15.0</w:t>
            </w:r>
          </w:p>
        </w:tc>
      </w:tr>
      <w:tr w:rsidR="00C068DD" w:rsidRPr="004F7510" w:rsidTr="008527A0">
        <w:tc>
          <w:tcPr>
            <w:tcW w:w="2286" w:type="dxa"/>
          </w:tcPr>
          <w:p w:rsidR="00C068DD" w:rsidRPr="002A424A" w:rsidRDefault="00C068DD" w:rsidP="006407EB">
            <w:r w:rsidRPr="002A424A">
              <w:t>2000</w:t>
            </w:r>
          </w:p>
        </w:tc>
        <w:tc>
          <w:tcPr>
            <w:tcW w:w="2394" w:type="dxa"/>
          </w:tcPr>
          <w:p w:rsidR="00C068DD" w:rsidRPr="002A424A" w:rsidRDefault="00C068DD" w:rsidP="006407EB">
            <w:r>
              <w:t>17.6</w:t>
            </w:r>
          </w:p>
        </w:tc>
        <w:tc>
          <w:tcPr>
            <w:tcW w:w="2394" w:type="dxa"/>
          </w:tcPr>
          <w:p w:rsidR="00C068DD" w:rsidRPr="002A424A" w:rsidRDefault="00C068DD" w:rsidP="006407EB">
            <w:r>
              <w:t>16.0</w:t>
            </w:r>
          </w:p>
        </w:tc>
        <w:tc>
          <w:tcPr>
            <w:tcW w:w="2394" w:type="dxa"/>
          </w:tcPr>
          <w:p w:rsidR="00C068DD" w:rsidRPr="002A424A" w:rsidRDefault="00C068DD" w:rsidP="006407EB">
            <w:r>
              <w:t>19.0</w:t>
            </w:r>
          </w:p>
        </w:tc>
      </w:tr>
      <w:tr w:rsidR="00C068DD" w:rsidRPr="004F7510" w:rsidTr="008527A0">
        <w:tc>
          <w:tcPr>
            <w:tcW w:w="2286" w:type="dxa"/>
          </w:tcPr>
          <w:p w:rsidR="00C068DD" w:rsidRPr="002A424A" w:rsidRDefault="00C068DD" w:rsidP="006407EB">
            <w:r w:rsidRPr="002A424A">
              <w:t>2010</w:t>
            </w:r>
          </w:p>
        </w:tc>
        <w:tc>
          <w:tcPr>
            <w:tcW w:w="2394" w:type="dxa"/>
          </w:tcPr>
          <w:p w:rsidR="00C068DD" w:rsidRPr="002A424A" w:rsidRDefault="00C068DD" w:rsidP="006407EB">
            <w:r>
              <w:t>19.1</w:t>
            </w:r>
          </w:p>
        </w:tc>
        <w:tc>
          <w:tcPr>
            <w:tcW w:w="2394" w:type="dxa"/>
          </w:tcPr>
          <w:p w:rsidR="00C068DD" w:rsidRPr="002A424A" w:rsidRDefault="00C068DD" w:rsidP="006407EB">
            <w:r>
              <w:t>17.7</w:t>
            </w:r>
          </w:p>
        </w:tc>
        <w:tc>
          <w:tcPr>
            <w:tcW w:w="2394" w:type="dxa"/>
          </w:tcPr>
          <w:p w:rsidR="00C068DD" w:rsidRPr="002A424A" w:rsidRDefault="00C068DD" w:rsidP="006407EB">
            <w:r>
              <w:t>20.3</w:t>
            </w:r>
          </w:p>
        </w:tc>
      </w:tr>
      <w:tr w:rsidR="00C068DD" w:rsidRPr="004F7510" w:rsidTr="008527A0">
        <w:trPr>
          <w:trHeight w:val="305"/>
        </w:trPr>
        <w:tc>
          <w:tcPr>
            <w:tcW w:w="2286" w:type="dxa"/>
          </w:tcPr>
          <w:p w:rsidR="00C068DD" w:rsidRPr="006407EB" w:rsidRDefault="00C068DD" w:rsidP="006407EB">
            <w:pPr>
              <w:rPr>
                <w:rStyle w:val="Strong"/>
              </w:rPr>
            </w:pPr>
            <w:r w:rsidRPr="006407EB">
              <w:rPr>
                <w:rStyle w:val="Strong"/>
              </w:rPr>
              <w:t>At Age 75</w:t>
            </w:r>
          </w:p>
        </w:tc>
        <w:tc>
          <w:tcPr>
            <w:tcW w:w="2394" w:type="dxa"/>
          </w:tcPr>
          <w:p w:rsidR="00C068DD" w:rsidRPr="006407EB" w:rsidRDefault="00C068DD" w:rsidP="006407EB">
            <w:pPr>
              <w:rPr>
                <w:rStyle w:val="Strong"/>
              </w:rPr>
            </w:pPr>
            <w:r w:rsidRPr="006407EB">
              <w:rPr>
                <w:rStyle w:val="Strong"/>
              </w:rPr>
              <w:t>Both Sexes</w:t>
            </w:r>
          </w:p>
        </w:tc>
        <w:tc>
          <w:tcPr>
            <w:tcW w:w="2394" w:type="dxa"/>
          </w:tcPr>
          <w:p w:rsidR="00C068DD" w:rsidRPr="006407EB" w:rsidRDefault="00C068DD" w:rsidP="006407EB">
            <w:pPr>
              <w:rPr>
                <w:rStyle w:val="Strong"/>
              </w:rPr>
            </w:pPr>
            <w:r w:rsidRPr="006407EB">
              <w:rPr>
                <w:rStyle w:val="Strong"/>
              </w:rPr>
              <w:t>Male</w:t>
            </w:r>
          </w:p>
        </w:tc>
        <w:tc>
          <w:tcPr>
            <w:tcW w:w="2394" w:type="dxa"/>
          </w:tcPr>
          <w:p w:rsidR="00C068DD" w:rsidRPr="006407EB" w:rsidRDefault="00C068DD" w:rsidP="006407EB">
            <w:pPr>
              <w:rPr>
                <w:rStyle w:val="Strong"/>
              </w:rPr>
            </w:pPr>
            <w:r w:rsidRPr="006407EB">
              <w:rPr>
                <w:rStyle w:val="Strong"/>
              </w:rPr>
              <w:t>Female</w:t>
            </w:r>
          </w:p>
        </w:tc>
      </w:tr>
      <w:tr w:rsidR="00C068DD" w:rsidRPr="004F7510" w:rsidTr="008527A0">
        <w:trPr>
          <w:trHeight w:val="107"/>
        </w:trPr>
        <w:tc>
          <w:tcPr>
            <w:tcW w:w="2286" w:type="dxa"/>
          </w:tcPr>
          <w:p w:rsidR="00C068DD" w:rsidRPr="002A424A" w:rsidRDefault="00C068DD" w:rsidP="006407EB">
            <w:pPr>
              <w:rPr>
                <w:color w:val="000000" w:themeColor="text1"/>
              </w:rPr>
            </w:pPr>
            <w:r w:rsidRPr="002A424A">
              <w:rPr>
                <w:color w:val="000000" w:themeColor="text1"/>
              </w:rPr>
              <w:t>1980</w:t>
            </w:r>
          </w:p>
        </w:tc>
        <w:tc>
          <w:tcPr>
            <w:tcW w:w="2394" w:type="dxa"/>
          </w:tcPr>
          <w:p w:rsidR="00C068DD" w:rsidRPr="002A424A" w:rsidRDefault="00C068DD" w:rsidP="006407EB">
            <w:pPr>
              <w:rPr>
                <w:color w:val="000000" w:themeColor="text1"/>
              </w:rPr>
            </w:pPr>
            <w:r w:rsidRPr="002A424A">
              <w:rPr>
                <w:color w:val="000000" w:themeColor="text1"/>
              </w:rPr>
              <w:t>10.4</w:t>
            </w:r>
          </w:p>
        </w:tc>
        <w:tc>
          <w:tcPr>
            <w:tcW w:w="2394" w:type="dxa"/>
          </w:tcPr>
          <w:p w:rsidR="00C068DD" w:rsidRPr="002A424A" w:rsidRDefault="00C068DD" w:rsidP="006407EB">
            <w:pPr>
              <w:rPr>
                <w:color w:val="000000" w:themeColor="text1"/>
              </w:rPr>
            </w:pPr>
            <w:r w:rsidRPr="002A424A">
              <w:rPr>
                <w:color w:val="000000" w:themeColor="text1"/>
              </w:rPr>
              <w:t>8.8</w:t>
            </w:r>
          </w:p>
        </w:tc>
        <w:tc>
          <w:tcPr>
            <w:tcW w:w="2394" w:type="dxa"/>
          </w:tcPr>
          <w:p w:rsidR="00C068DD" w:rsidRPr="002A424A" w:rsidRDefault="00C068DD" w:rsidP="006407EB">
            <w:pPr>
              <w:rPr>
                <w:color w:val="000000" w:themeColor="text1"/>
              </w:rPr>
            </w:pPr>
            <w:r w:rsidRPr="002A424A">
              <w:rPr>
                <w:color w:val="000000" w:themeColor="text1"/>
              </w:rPr>
              <w:t>11.5</w:t>
            </w:r>
          </w:p>
        </w:tc>
      </w:tr>
      <w:tr w:rsidR="00C068DD" w:rsidRPr="004F7510" w:rsidTr="008527A0">
        <w:trPr>
          <w:trHeight w:val="107"/>
        </w:trPr>
        <w:tc>
          <w:tcPr>
            <w:tcW w:w="2286" w:type="dxa"/>
          </w:tcPr>
          <w:p w:rsidR="00C068DD" w:rsidRPr="002A424A" w:rsidRDefault="00C068DD" w:rsidP="006407EB">
            <w:pPr>
              <w:rPr>
                <w:color w:val="000000" w:themeColor="text1"/>
              </w:rPr>
            </w:pPr>
            <w:r>
              <w:rPr>
                <w:color w:val="000000" w:themeColor="text1"/>
              </w:rPr>
              <w:t>2000</w:t>
            </w:r>
          </w:p>
        </w:tc>
        <w:tc>
          <w:tcPr>
            <w:tcW w:w="2394" w:type="dxa"/>
          </w:tcPr>
          <w:p w:rsidR="00C068DD" w:rsidRPr="002A424A" w:rsidRDefault="00C068DD" w:rsidP="006407EB">
            <w:pPr>
              <w:rPr>
                <w:color w:val="000000" w:themeColor="text1"/>
              </w:rPr>
            </w:pPr>
            <w:r>
              <w:rPr>
                <w:color w:val="000000" w:themeColor="text1"/>
              </w:rPr>
              <w:t>11.0</w:t>
            </w:r>
          </w:p>
        </w:tc>
        <w:tc>
          <w:tcPr>
            <w:tcW w:w="2394" w:type="dxa"/>
          </w:tcPr>
          <w:p w:rsidR="00C068DD" w:rsidRPr="002A424A" w:rsidRDefault="00C068DD" w:rsidP="006407EB">
            <w:pPr>
              <w:rPr>
                <w:color w:val="000000" w:themeColor="text1"/>
              </w:rPr>
            </w:pPr>
            <w:r>
              <w:rPr>
                <w:color w:val="000000" w:themeColor="text1"/>
              </w:rPr>
              <w:t>9.8</w:t>
            </w:r>
          </w:p>
        </w:tc>
        <w:tc>
          <w:tcPr>
            <w:tcW w:w="2394" w:type="dxa"/>
          </w:tcPr>
          <w:p w:rsidR="00C068DD" w:rsidRPr="002A424A" w:rsidRDefault="00C068DD" w:rsidP="006407EB">
            <w:pPr>
              <w:rPr>
                <w:color w:val="000000" w:themeColor="text1"/>
              </w:rPr>
            </w:pPr>
            <w:r>
              <w:rPr>
                <w:color w:val="000000" w:themeColor="text1"/>
              </w:rPr>
              <w:t>11.8</w:t>
            </w:r>
          </w:p>
        </w:tc>
      </w:tr>
      <w:tr w:rsidR="00C068DD" w:rsidRPr="004F7510" w:rsidTr="008527A0">
        <w:trPr>
          <w:trHeight w:val="107"/>
        </w:trPr>
        <w:tc>
          <w:tcPr>
            <w:tcW w:w="2286" w:type="dxa"/>
          </w:tcPr>
          <w:p w:rsidR="00C068DD" w:rsidRDefault="00C068DD" w:rsidP="006407EB">
            <w:pPr>
              <w:rPr>
                <w:color w:val="000000" w:themeColor="text1"/>
              </w:rPr>
            </w:pPr>
            <w:r>
              <w:rPr>
                <w:color w:val="000000" w:themeColor="text1"/>
              </w:rPr>
              <w:t>2010</w:t>
            </w:r>
          </w:p>
        </w:tc>
        <w:tc>
          <w:tcPr>
            <w:tcW w:w="2394" w:type="dxa"/>
          </w:tcPr>
          <w:p w:rsidR="00C068DD" w:rsidRDefault="00C068DD" w:rsidP="006407EB">
            <w:pPr>
              <w:rPr>
                <w:color w:val="000000" w:themeColor="text1"/>
              </w:rPr>
            </w:pPr>
            <w:r>
              <w:rPr>
                <w:color w:val="000000" w:themeColor="text1"/>
              </w:rPr>
              <w:t>12.1</w:t>
            </w:r>
          </w:p>
        </w:tc>
        <w:tc>
          <w:tcPr>
            <w:tcW w:w="2394" w:type="dxa"/>
          </w:tcPr>
          <w:p w:rsidR="00C068DD" w:rsidRDefault="00C068DD" w:rsidP="006407EB">
            <w:pPr>
              <w:rPr>
                <w:color w:val="000000" w:themeColor="text1"/>
              </w:rPr>
            </w:pPr>
            <w:r>
              <w:rPr>
                <w:color w:val="000000" w:themeColor="text1"/>
              </w:rPr>
              <w:t>16.0</w:t>
            </w:r>
          </w:p>
        </w:tc>
        <w:tc>
          <w:tcPr>
            <w:tcW w:w="2394" w:type="dxa"/>
          </w:tcPr>
          <w:p w:rsidR="00C068DD" w:rsidRDefault="00C068DD" w:rsidP="006407EB">
            <w:pPr>
              <w:rPr>
                <w:color w:val="000000" w:themeColor="text1"/>
              </w:rPr>
            </w:pPr>
            <w:r>
              <w:rPr>
                <w:color w:val="000000" w:themeColor="text1"/>
              </w:rPr>
              <w:t>12.9</w:t>
            </w:r>
          </w:p>
        </w:tc>
      </w:tr>
    </w:tbl>
    <w:p w:rsidR="00A37288" w:rsidRPr="00A37288" w:rsidRDefault="00A37288" w:rsidP="009F5B01">
      <w:pPr>
        <w:spacing w:after="120"/>
        <w:rPr>
          <w:rFonts w:cs="Arial"/>
          <w:color w:val="1F497D" w:themeColor="text2"/>
          <w:sz w:val="12"/>
          <w:szCs w:val="12"/>
        </w:rPr>
      </w:pPr>
    </w:p>
    <w:p w:rsidR="009F5B01" w:rsidRPr="003446EE" w:rsidRDefault="0067508A" w:rsidP="00606F88">
      <w:pPr>
        <w:pStyle w:val="Heading2"/>
      </w:pPr>
      <w:bookmarkStart w:id="17" w:name="_Toc403370673"/>
      <w:r w:rsidRPr="003446EE">
        <w:t>Access to Long-term</w:t>
      </w:r>
      <w:r w:rsidR="009C0567" w:rsidRPr="003446EE">
        <w:t xml:space="preserve"> Care in Rural Area</w:t>
      </w:r>
      <w:r w:rsidR="009F5B01" w:rsidRPr="003446EE">
        <w:t>s</w:t>
      </w:r>
      <w:bookmarkEnd w:id="17"/>
    </w:p>
    <w:p w:rsidR="00D81E5C" w:rsidRDefault="00D81E5C" w:rsidP="00820846">
      <w:pPr>
        <w:spacing w:after="240"/>
        <w:rPr>
          <w:rFonts w:eastAsia="Times New Roman" w:cs="Arial"/>
        </w:rPr>
      </w:pPr>
      <w:r w:rsidRPr="00F437FC">
        <w:rPr>
          <w:rFonts w:eastAsia="Times New Roman" w:cs="Arial"/>
        </w:rPr>
        <w:t xml:space="preserve">Ultimately, improving access to long-term care (LTC) services in rural areas requires addressing a range of factors from the system constraints to the unique rural barriers that impact provision of services and treatment seeking.  Coordination of care, improved communication between providers and patients, the use of innovative technologies to bridge distance barriers, increased focus on recruitment and retention of LTC workers, support for informal care networks, and efforts to improve affordability are </w:t>
      </w:r>
      <w:r w:rsidR="009F5B01">
        <w:rPr>
          <w:rFonts w:eastAsia="Times New Roman" w:cs="Arial"/>
        </w:rPr>
        <w:t>issues that need to be addressed.</w:t>
      </w:r>
    </w:p>
    <w:p w:rsidR="00D81E5C" w:rsidRPr="00701255" w:rsidRDefault="009F5B01" w:rsidP="0067508A">
      <w:pPr>
        <w:spacing w:after="120"/>
        <w:jc w:val="center"/>
        <w:rPr>
          <w:rFonts w:eastAsia="Times New Roman" w:cs="Arial"/>
          <w:b/>
          <w:i/>
          <w:color w:val="1F497D" w:themeColor="text2"/>
          <w:sz w:val="28"/>
          <w:szCs w:val="28"/>
        </w:rPr>
      </w:pPr>
      <w:bookmarkStart w:id="18" w:name="_Toc403370674"/>
      <w:r w:rsidRPr="00606F88">
        <w:rPr>
          <w:rStyle w:val="Heading2Char"/>
        </w:rPr>
        <w:t xml:space="preserve">Family </w:t>
      </w:r>
      <w:r w:rsidR="00D81E5C" w:rsidRPr="00606F88">
        <w:rPr>
          <w:rStyle w:val="Heading2Char"/>
        </w:rPr>
        <w:t>Caregivers</w:t>
      </w:r>
      <w:r w:rsidR="00946563" w:rsidRPr="00606F88">
        <w:rPr>
          <w:rStyle w:val="Heading2Char"/>
        </w:rPr>
        <w:t xml:space="preserve"> for People with Disabilities</w:t>
      </w:r>
      <w:bookmarkEnd w:id="18"/>
      <w:r w:rsidR="00456731" w:rsidRPr="00606F88">
        <w:rPr>
          <w:rStyle w:val="FootnoteReference"/>
          <w:rFonts w:eastAsia="Times New Roman" w:cs="Arial"/>
          <w:b/>
          <w:color w:val="1F497D" w:themeColor="text2"/>
          <w:sz w:val="28"/>
          <w:szCs w:val="28"/>
        </w:rPr>
        <w:footnoteReference w:id="17"/>
      </w:r>
    </w:p>
    <w:p w:rsidR="00D81E5C" w:rsidRPr="00BD597C" w:rsidRDefault="00D81E5C" w:rsidP="00F712F4">
      <w:pPr>
        <w:spacing w:after="120"/>
        <w:rPr>
          <w:rFonts w:eastAsia="Times New Roman" w:cs="Arial"/>
          <w:color w:val="000000"/>
        </w:rPr>
      </w:pPr>
      <w:r w:rsidRPr="00BD597C">
        <w:rPr>
          <w:rFonts w:eastAsia="Times New Roman" w:cs="Arial"/>
          <w:color w:val="000000"/>
        </w:rPr>
        <w:t>These general care</w:t>
      </w:r>
      <w:r w:rsidR="009C0567">
        <w:rPr>
          <w:rFonts w:eastAsia="Times New Roman" w:cs="Arial"/>
          <w:color w:val="000000"/>
        </w:rPr>
        <w:t>-</w:t>
      </w:r>
      <w:r w:rsidRPr="00BD597C">
        <w:rPr>
          <w:rFonts w:eastAsia="Times New Roman" w:cs="Arial"/>
          <w:color w:val="000000"/>
        </w:rPr>
        <w:t xml:space="preserve">giving tips provide </w:t>
      </w:r>
      <w:r w:rsidRPr="0060291C">
        <w:rPr>
          <w:rFonts w:eastAsia="Times New Roman" w:cs="Arial"/>
          <w:color w:val="000000"/>
        </w:rPr>
        <w:t>families</w:t>
      </w:r>
      <w:r w:rsidRPr="00BD597C">
        <w:rPr>
          <w:rFonts w:eastAsia="Times New Roman" w:cs="Arial"/>
          <w:color w:val="000000"/>
        </w:rPr>
        <w:t xml:space="preserve"> with information on how to stay healthy and positive. Keep in mind that these tips can be used to address many family issues. Information, support, advocacy, empowerment, care, and balance can be the foundation for a healthy family and are appropriate no matter what the challenge.</w:t>
      </w:r>
    </w:p>
    <w:p w:rsidR="00815967" w:rsidRPr="00C80131" w:rsidRDefault="00D81E5C" w:rsidP="00C80131">
      <w:pPr>
        <w:pStyle w:val="Default"/>
        <w:rPr>
          <w:rStyle w:val="Strong"/>
        </w:rPr>
      </w:pPr>
      <w:r w:rsidRPr="00C80131">
        <w:rPr>
          <w:rStyle w:val="Strong"/>
        </w:rPr>
        <w:t>Be Informed</w:t>
      </w:r>
    </w:p>
    <w:p w:rsidR="00815967" w:rsidRPr="00606F88" w:rsidRDefault="00D81E5C" w:rsidP="00F9158C">
      <w:pPr>
        <w:pStyle w:val="ListParagraph"/>
        <w:numPr>
          <w:ilvl w:val="0"/>
          <w:numId w:val="26"/>
        </w:numPr>
        <w:rPr>
          <w:rFonts w:eastAsia="Times New Roman"/>
          <w:szCs w:val="22"/>
        </w:rPr>
      </w:pPr>
      <w:r w:rsidRPr="00606F88">
        <w:rPr>
          <w:rFonts w:eastAsia="Times New Roman"/>
          <w:szCs w:val="22"/>
        </w:rPr>
        <w:t xml:space="preserve">Gather information about your family member's condition, and discuss issues with others involved in the care of your family member. Being informed will help you make more knowledgeable health decisions and improve your understanding about any challenges your family might face. </w:t>
      </w:r>
    </w:p>
    <w:p w:rsidR="006407EB" w:rsidRPr="006407EB" w:rsidRDefault="00D81E5C" w:rsidP="00F9158C">
      <w:pPr>
        <w:pStyle w:val="ListParagraph"/>
        <w:numPr>
          <w:ilvl w:val="0"/>
          <w:numId w:val="26"/>
        </w:numPr>
        <w:rPr>
          <w:b/>
          <w:bCs/>
        </w:rPr>
      </w:pPr>
      <w:r w:rsidRPr="00606F88">
        <w:rPr>
          <w:rFonts w:eastAsia="Times New Roman"/>
          <w:szCs w:val="22"/>
        </w:rPr>
        <w:t>Notice how others care for the person with special needs. Be aware of si</w:t>
      </w:r>
      <w:r w:rsidR="00606F88">
        <w:rPr>
          <w:rFonts w:eastAsia="Times New Roman"/>
          <w:szCs w:val="22"/>
        </w:rPr>
        <w:t>gns of mental or physical abus</w:t>
      </w:r>
      <w:r w:rsidR="006407EB">
        <w:rPr>
          <w:rFonts w:eastAsia="Times New Roman"/>
          <w:szCs w:val="22"/>
        </w:rPr>
        <w:t>e.</w:t>
      </w:r>
    </w:p>
    <w:p w:rsidR="00D81E5C" w:rsidRPr="00C80131" w:rsidRDefault="006407EB" w:rsidP="00C80131">
      <w:pPr>
        <w:pStyle w:val="Default"/>
        <w:rPr>
          <w:rStyle w:val="Strong"/>
        </w:rPr>
      </w:pPr>
      <w:r w:rsidRPr="00606F88">
        <w:rPr>
          <w:rStyle w:val="Strong"/>
        </w:rPr>
        <w:t xml:space="preserve"> </w:t>
      </w:r>
      <w:r w:rsidR="00D81E5C" w:rsidRPr="00C80131">
        <w:rPr>
          <w:rStyle w:val="Strong"/>
        </w:rPr>
        <w:t>Get Support</w:t>
      </w:r>
    </w:p>
    <w:p w:rsidR="00635117" w:rsidRPr="00606F88" w:rsidRDefault="00D81E5C" w:rsidP="00F9158C">
      <w:pPr>
        <w:pStyle w:val="ListParagraph"/>
        <w:numPr>
          <w:ilvl w:val="0"/>
          <w:numId w:val="27"/>
        </w:numPr>
        <w:rPr>
          <w:rFonts w:eastAsia="Times New Roman"/>
          <w:szCs w:val="22"/>
        </w:rPr>
      </w:pPr>
      <w:r w:rsidRPr="00606F88">
        <w:rPr>
          <w:rFonts w:eastAsia="Times New Roman"/>
          <w:szCs w:val="22"/>
        </w:rPr>
        <w:lastRenderedPageBreak/>
        <w:t>Family members and friends can provide support in a variety of ways and oftentimes want to help. Determine if there are big or small things they can do to assist you and your family.</w:t>
      </w:r>
    </w:p>
    <w:p w:rsidR="00635117" w:rsidRPr="00606F88" w:rsidRDefault="00D81E5C" w:rsidP="00F9158C">
      <w:pPr>
        <w:pStyle w:val="ListParagraph"/>
        <w:numPr>
          <w:ilvl w:val="0"/>
          <w:numId w:val="27"/>
        </w:numPr>
        <w:rPr>
          <w:rFonts w:eastAsia="Times New Roman"/>
          <w:szCs w:val="22"/>
        </w:rPr>
      </w:pPr>
      <w:r w:rsidRPr="00606F88">
        <w:rPr>
          <w:rFonts w:eastAsia="Times New Roman"/>
          <w:szCs w:val="22"/>
        </w:rPr>
        <w:t>Join a local or online support group. A support group can give you the chance to share information and connect with people who are going through similar experiences. A support group may help combat the isolation and fear you may experience as a caregiver.</w:t>
      </w:r>
    </w:p>
    <w:p w:rsidR="00635117" w:rsidRPr="00606F88" w:rsidRDefault="00D81E5C" w:rsidP="00F9158C">
      <w:pPr>
        <w:pStyle w:val="ListParagraph"/>
        <w:numPr>
          <w:ilvl w:val="0"/>
          <w:numId w:val="27"/>
        </w:numPr>
        <w:rPr>
          <w:rFonts w:eastAsia="Times New Roman"/>
          <w:b/>
          <w:i/>
          <w:color w:val="5F497A" w:themeColor="accent4" w:themeShade="BF"/>
          <w:szCs w:val="22"/>
        </w:rPr>
      </w:pPr>
      <w:r w:rsidRPr="00606F88">
        <w:rPr>
          <w:rFonts w:eastAsia="Times New Roman"/>
          <w:szCs w:val="22"/>
        </w:rPr>
        <w:t>Don’t limit your involvement to support groups and associations that focus on a particular need or disability. There are also local and national groups that provide services, recreation, and information for people with disabilities.</w:t>
      </w:r>
    </w:p>
    <w:p w:rsidR="00512525" w:rsidRPr="00606F88" w:rsidRDefault="00D81E5C" w:rsidP="00F9158C">
      <w:pPr>
        <w:pStyle w:val="ListParagraph"/>
        <w:numPr>
          <w:ilvl w:val="0"/>
          <w:numId w:val="27"/>
        </w:numPr>
        <w:rPr>
          <w:rFonts w:eastAsia="Times New Roman"/>
          <w:b/>
          <w:i/>
          <w:color w:val="5F497A" w:themeColor="accent4" w:themeShade="BF"/>
          <w:szCs w:val="22"/>
        </w:rPr>
      </w:pPr>
      <w:r w:rsidRPr="00606F88">
        <w:rPr>
          <w:rFonts w:eastAsia="Times New Roman"/>
          <w:szCs w:val="22"/>
        </w:rPr>
        <w:t>Friends, family, health care providers, support groups, community services, and counselors are just a few of the people available to help you and your family.</w:t>
      </w:r>
    </w:p>
    <w:p w:rsidR="00D81E5C" w:rsidRPr="00C80131" w:rsidRDefault="00D81E5C" w:rsidP="00C80131">
      <w:pPr>
        <w:rPr>
          <w:rStyle w:val="Strong"/>
        </w:rPr>
      </w:pPr>
      <w:r w:rsidRPr="00C80131">
        <w:rPr>
          <w:rStyle w:val="Strong"/>
        </w:rPr>
        <w:t>Be an Advocate</w:t>
      </w:r>
    </w:p>
    <w:p w:rsidR="00D81E5C" w:rsidRPr="00606F88" w:rsidRDefault="00D81E5C" w:rsidP="00F9158C">
      <w:pPr>
        <w:pStyle w:val="ListParagraph"/>
        <w:numPr>
          <w:ilvl w:val="0"/>
          <w:numId w:val="28"/>
        </w:numPr>
        <w:rPr>
          <w:rFonts w:ascii="Lato" w:eastAsia="Times New Roman" w:hAnsi="Lato" w:cs="Times New Roman"/>
          <w:szCs w:val="22"/>
        </w:rPr>
      </w:pPr>
      <w:r w:rsidRPr="00606F88">
        <w:rPr>
          <w:rFonts w:eastAsia="Times New Roman"/>
          <w:szCs w:val="22"/>
        </w:rPr>
        <w:t>Be an advocate for your family member with a disability. Caregivers who are effective advocates may be more successful at getting better service</w:t>
      </w:r>
      <w:r w:rsidRPr="00606F88">
        <w:rPr>
          <w:rFonts w:ascii="Lato" w:eastAsia="Times New Roman" w:hAnsi="Lato" w:cs="Times New Roman"/>
          <w:szCs w:val="22"/>
        </w:rPr>
        <w:t>.</w:t>
      </w:r>
    </w:p>
    <w:p w:rsidR="00D81E5C" w:rsidRPr="00606F88" w:rsidRDefault="00D81E5C" w:rsidP="00F9158C">
      <w:pPr>
        <w:pStyle w:val="ListParagraph"/>
        <w:numPr>
          <w:ilvl w:val="0"/>
          <w:numId w:val="28"/>
        </w:numPr>
        <w:rPr>
          <w:rFonts w:eastAsia="Times New Roman"/>
          <w:b/>
          <w:i/>
          <w:szCs w:val="22"/>
        </w:rPr>
      </w:pPr>
      <w:r w:rsidRPr="00606F88">
        <w:rPr>
          <w:rFonts w:eastAsia="Times New Roman"/>
          <w:szCs w:val="22"/>
        </w:rPr>
        <w:t xml:space="preserve">Ask questions. For example, if your family member with a disability uses a wheelchair and you want to plan a beach vacation, find out if the beaches are accessible via a car, ramp, portable walkway mat, or other equipment. Inform other caregivers of any special conditions or circumstances. For example, if your family member with a disability has a latex allergy, remind dental or medical staff each time you visit them.  </w:t>
      </w:r>
    </w:p>
    <w:p w:rsidR="009C0567" w:rsidRPr="00606F88" w:rsidRDefault="00D81E5C" w:rsidP="00F9158C">
      <w:pPr>
        <w:pStyle w:val="ListParagraph"/>
        <w:numPr>
          <w:ilvl w:val="0"/>
          <w:numId w:val="28"/>
        </w:numPr>
        <w:rPr>
          <w:rFonts w:eastAsia="Times New Roman"/>
          <w:b/>
          <w:i/>
          <w:szCs w:val="22"/>
        </w:rPr>
      </w:pPr>
      <w:r w:rsidRPr="00606F88">
        <w:rPr>
          <w:rFonts w:eastAsia="Times New Roman"/>
          <w:szCs w:val="22"/>
        </w:rPr>
        <w:t>Document the medical history of your family member with a disability, and keep this information current.</w:t>
      </w:r>
    </w:p>
    <w:p w:rsidR="009C0567" w:rsidRPr="00606F88" w:rsidRDefault="00D81E5C" w:rsidP="00F9158C">
      <w:pPr>
        <w:pStyle w:val="ListParagraph"/>
        <w:numPr>
          <w:ilvl w:val="0"/>
          <w:numId w:val="28"/>
        </w:numPr>
        <w:rPr>
          <w:rFonts w:eastAsia="Times New Roman"/>
          <w:b/>
          <w:i/>
          <w:szCs w:val="22"/>
        </w:rPr>
      </w:pPr>
      <w:r w:rsidRPr="00606F88">
        <w:rPr>
          <w:rFonts w:eastAsia="Times New Roman"/>
          <w:szCs w:val="22"/>
        </w:rPr>
        <w:t>Make sure your employer understa</w:t>
      </w:r>
      <w:r w:rsidR="009C0567" w:rsidRPr="00606F88">
        <w:rPr>
          <w:rFonts w:eastAsia="Times New Roman"/>
          <w:szCs w:val="22"/>
        </w:rPr>
        <w:t>n</w:t>
      </w:r>
      <w:r w:rsidRPr="00606F88">
        <w:rPr>
          <w:rFonts w:eastAsia="Times New Roman"/>
          <w:szCs w:val="22"/>
        </w:rPr>
        <w:t>ds your circumstances and limitations. Discuss your ability to travel or to work weekends or evenings. Arrange for flexible scheduling when needed.</w:t>
      </w:r>
    </w:p>
    <w:p w:rsidR="009C0567" w:rsidRPr="00606F88" w:rsidRDefault="00D81E5C" w:rsidP="00F9158C">
      <w:pPr>
        <w:pStyle w:val="ListParagraph"/>
        <w:numPr>
          <w:ilvl w:val="0"/>
          <w:numId w:val="28"/>
        </w:numPr>
        <w:rPr>
          <w:rFonts w:eastAsia="Times New Roman"/>
          <w:b/>
          <w:i/>
          <w:szCs w:val="22"/>
        </w:rPr>
      </w:pPr>
      <w:r w:rsidRPr="00606F88">
        <w:rPr>
          <w:rFonts w:eastAsia="Times New Roman"/>
          <w:szCs w:val="22"/>
        </w:rPr>
        <w:t>Become familiar with the Americans with Disabilities Act, the Family Medical Leave Act, and other state and national provisions. Know how and when to apply them to your situation.</w:t>
      </w:r>
      <w:r w:rsidRPr="00606F88">
        <w:rPr>
          <w:rFonts w:eastAsia="Times New Roman"/>
          <w:b/>
          <w:i/>
          <w:szCs w:val="22"/>
        </w:rPr>
        <w:t xml:space="preserve"> </w:t>
      </w:r>
    </w:p>
    <w:p w:rsidR="00D81E5C" w:rsidRPr="00C80131" w:rsidRDefault="00D81E5C" w:rsidP="00C80131">
      <w:pPr>
        <w:rPr>
          <w:rStyle w:val="Strong"/>
        </w:rPr>
      </w:pPr>
      <w:r w:rsidRPr="00C80131">
        <w:rPr>
          <w:rStyle w:val="Strong"/>
        </w:rPr>
        <w:t>Be Empowering</w:t>
      </w:r>
    </w:p>
    <w:p w:rsidR="00D81E5C" w:rsidRPr="00606F88" w:rsidRDefault="00D81E5C" w:rsidP="00F9158C">
      <w:pPr>
        <w:pStyle w:val="ListParagraph"/>
        <w:numPr>
          <w:ilvl w:val="0"/>
          <w:numId w:val="29"/>
        </w:numPr>
        <w:rPr>
          <w:rFonts w:eastAsia="Times New Roman"/>
          <w:szCs w:val="22"/>
        </w:rPr>
      </w:pPr>
      <w:r w:rsidRPr="00606F88">
        <w:rPr>
          <w:rFonts w:eastAsia="Times New Roman"/>
          <w:szCs w:val="22"/>
        </w:rPr>
        <w:t xml:space="preserve">Focus on what you and your family member with a disability </w:t>
      </w:r>
      <w:r w:rsidRPr="00606F88">
        <w:rPr>
          <w:rFonts w:eastAsia="Times New Roman"/>
          <w:i/>
          <w:iCs/>
          <w:szCs w:val="22"/>
        </w:rPr>
        <w:t>can</w:t>
      </w:r>
      <w:r w:rsidRPr="00606F88">
        <w:rPr>
          <w:rFonts w:eastAsia="Times New Roman"/>
          <w:szCs w:val="22"/>
        </w:rPr>
        <w:t xml:space="preserve"> do. </w:t>
      </w:r>
    </w:p>
    <w:p w:rsidR="00D81E5C" w:rsidRPr="00606F88" w:rsidRDefault="00D81E5C" w:rsidP="00F9158C">
      <w:pPr>
        <w:pStyle w:val="ListParagraph"/>
        <w:numPr>
          <w:ilvl w:val="0"/>
          <w:numId w:val="29"/>
        </w:numPr>
        <w:rPr>
          <w:rFonts w:eastAsia="Times New Roman"/>
          <w:szCs w:val="22"/>
        </w:rPr>
      </w:pPr>
      <w:r w:rsidRPr="00606F88">
        <w:rPr>
          <w:rFonts w:eastAsia="Times New Roman"/>
          <w:szCs w:val="22"/>
        </w:rPr>
        <w:t>Find appropriate milestones and celebrate them.</w:t>
      </w:r>
    </w:p>
    <w:p w:rsidR="00D81E5C" w:rsidRPr="00606F88" w:rsidRDefault="00D81E5C" w:rsidP="00F9158C">
      <w:pPr>
        <w:pStyle w:val="ListParagraph"/>
        <w:numPr>
          <w:ilvl w:val="0"/>
          <w:numId w:val="29"/>
        </w:numPr>
        <w:rPr>
          <w:rFonts w:eastAsia="Times New Roman"/>
          <w:szCs w:val="22"/>
        </w:rPr>
      </w:pPr>
      <w:r w:rsidRPr="00606F88">
        <w:rPr>
          <w:rFonts w:eastAsia="Times New Roman"/>
          <w:szCs w:val="22"/>
        </w:rPr>
        <w:t>If someone asks you questions about the family member with a disability, let him or her answer when possible. Doing so may help empower the individual to engage with others.</w:t>
      </w:r>
    </w:p>
    <w:p w:rsidR="00B2374F" w:rsidRPr="00606F88" w:rsidRDefault="00D81E5C" w:rsidP="00F9158C">
      <w:pPr>
        <w:pStyle w:val="ListParagraph"/>
        <w:numPr>
          <w:ilvl w:val="0"/>
          <w:numId w:val="29"/>
        </w:numPr>
        <w:rPr>
          <w:rFonts w:eastAsia="Times New Roman"/>
          <w:szCs w:val="22"/>
        </w:rPr>
      </w:pPr>
      <w:r w:rsidRPr="00606F88">
        <w:rPr>
          <w:rFonts w:eastAsia="Times New Roman"/>
          <w:szCs w:val="22"/>
        </w:rPr>
        <w:t>When appropriate, teach your family member with a disability to be as independent and self-assured as possible. Always keep health and safety issues in mind.</w:t>
      </w:r>
    </w:p>
    <w:p w:rsidR="009C0567" w:rsidRPr="00C80131" w:rsidRDefault="00D81E5C" w:rsidP="00C80131">
      <w:pPr>
        <w:rPr>
          <w:rStyle w:val="Strong"/>
        </w:rPr>
      </w:pPr>
      <w:r w:rsidRPr="00C80131">
        <w:rPr>
          <w:rStyle w:val="Strong"/>
        </w:rPr>
        <w:t>Take Care of Yourself</w:t>
      </w:r>
      <w:r w:rsidR="009C0567" w:rsidRPr="00C80131">
        <w:rPr>
          <w:rStyle w:val="Strong"/>
        </w:rPr>
        <w:t xml:space="preserve"> </w:t>
      </w:r>
    </w:p>
    <w:p w:rsidR="00303073" w:rsidRPr="00606F88" w:rsidRDefault="00D81E5C" w:rsidP="00F9158C">
      <w:pPr>
        <w:pStyle w:val="ListParagraph"/>
        <w:numPr>
          <w:ilvl w:val="0"/>
          <w:numId w:val="30"/>
        </w:numPr>
        <w:rPr>
          <w:rFonts w:eastAsia="Times New Roman"/>
          <w:szCs w:val="22"/>
        </w:rPr>
      </w:pPr>
      <w:r w:rsidRPr="00606F88">
        <w:rPr>
          <w:rFonts w:eastAsia="Times New Roman"/>
          <w:szCs w:val="22"/>
        </w:rPr>
        <w:t>Caring for a family member with a disability can wear out even the strongest caregiver. Stay healthy for yourself and those you care for.</w:t>
      </w:r>
    </w:p>
    <w:p w:rsidR="00D81E5C" w:rsidRPr="00606F88" w:rsidRDefault="00D81E5C" w:rsidP="00F9158C">
      <w:pPr>
        <w:pStyle w:val="ListParagraph"/>
        <w:numPr>
          <w:ilvl w:val="0"/>
          <w:numId w:val="30"/>
        </w:numPr>
        <w:rPr>
          <w:rFonts w:eastAsia="Times New Roman"/>
          <w:szCs w:val="22"/>
        </w:rPr>
      </w:pPr>
      <w:r w:rsidRPr="00606F88">
        <w:rPr>
          <w:rFonts w:eastAsia="Times New Roman"/>
          <w:szCs w:val="22"/>
        </w:rPr>
        <w:lastRenderedPageBreak/>
        <w:t>Allow yourself not to be the perfect caregiver. Set reasonable expectations to lower stress and make you a more effective caregiver.</w:t>
      </w:r>
    </w:p>
    <w:p w:rsidR="00D81E5C" w:rsidRPr="00606F88" w:rsidRDefault="00D81E5C" w:rsidP="00F9158C">
      <w:pPr>
        <w:pStyle w:val="ListParagraph"/>
        <w:numPr>
          <w:ilvl w:val="0"/>
          <w:numId w:val="30"/>
        </w:numPr>
        <w:rPr>
          <w:rFonts w:eastAsia="Times New Roman"/>
          <w:szCs w:val="22"/>
        </w:rPr>
      </w:pPr>
      <w:r w:rsidRPr="00606F88">
        <w:rPr>
          <w:rFonts w:eastAsia="Times New Roman"/>
          <w:szCs w:val="22"/>
        </w:rPr>
        <w:t>Delegate some care</w:t>
      </w:r>
      <w:r w:rsidR="00303073" w:rsidRPr="00606F88">
        <w:rPr>
          <w:rFonts w:eastAsia="Times New Roman"/>
          <w:szCs w:val="22"/>
        </w:rPr>
        <w:t>-</w:t>
      </w:r>
      <w:r w:rsidRPr="00606F88">
        <w:rPr>
          <w:rFonts w:eastAsia="Times New Roman"/>
          <w:szCs w:val="22"/>
        </w:rPr>
        <w:t>giving tasks to other reliable people.</w:t>
      </w:r>
    </w:p>
    <w:p w:rsidR="00AB0D2B" w:rsidRPr="00606F88" w:rsidRDefault="00D81E5C" w:rsidP="00F9158C">
      <w:pPr>
        <w:pStyle w:val="ListParagraph"/>
        <w:numPr>
          <w:ilvl w:val="0"/>
          <w:numId w:val="30"/>
        </w:numPr>
        <w:rPr>
          <w:rFonts w:eastAsia="Times New Roman"/>
          <w:b/>
          <w:i/>
          <w:color w:val="4F81BD" w:themeColor="accent1"/>
          <w:szCs w:val="22"/>
        </w:rPr>
      </w:pPr>
      <w:r w:rsidRPr="00606F88">
        <w:rPr>
          <w:rFonts w:eastAsia="Times New Roman"/>
          <w:szCs w:val="22"/>
        </w:rPr>
        <w:t xml:space="preserve">Take a break. Short breaks, like an evening walk or relaxing bath, are essential. Long </w:t>
      </w:r>
      <w:r w:rsidR="00323A92" w:rsidRPr="00606F88">
        <w:rPr>
          <w:rFonts w:eastAsia="Times New Roman"/>
          <w:szCs w:val="22"/>
        </w:rPr>
        <w:t>b</w:t>
      </w:r>
      <w:r w:rsidRPr="00606F88">
        <w:rPr>
          <w:rFonts w:eastAsia="Times New Roman"/>
          <w:szCs w:val="22"/>
        </w:rPr>
        <w:t xml:space="preserve">reaks are nurturing. </w:t>
      </w:r>
    </w:p>
    <w:p w:rsidR="00AB0D2B" w:rsidRPr="00606F88" w:rsidRDefault="00D81E5C" w:rsidP="00F9158C">
      <w:pPr>
        <w:pStyle w:val="ListParagraph"/>
        <w:numPr>
          <w:ilvl w:val="0"/>
          <w:numId w:val="30"/>
        </w:numPr>
        <w:rPr>
          <w:rFonts w:eastAsia="Times New Roman"/>
          <w:b/>
          <w:i/>
          <w:color w:val="4F81BD" w:themeColor="accent1"/>
          <w:szCs w:val="22"/>
        </w:rPr>
      </w:pPr>
      <w:r w:rsidRPr="00606F88">
        <w:rPr>
          <w:rFonts w:eastAsia="Times New Roman"/>
          <w:szCs w:val="22"/>
        </w:rPr>
        <w:t>Arrange a retreat with friends or get away with a significant other when appropriate.</w:t>
      </w:r>
    </w:p>
    <w:p w:rsidR="00303073" w:rsidRPr="00606F88" w:rsidRDefault="00D81E5C" w:rsidP="00F9158C">
      <w:pPr>
        <w:pStyle w:val="ListParagraph"/>
        <w:numPr>
          <w:ilvl w:val="0"/>
          <w:numId w:val="30"/>
        </w:numPr>
        <w:rPr>
          <w:rFonts w:eastAsia="Times New Roman"/>
          <w:b/>
          <w:i/>
          <w:color w:val="4F81BD" w:themeColor="accent1"/>
          <w:szCs w:val="22"/>
        </w:rPr>
      </w:pPr>
      <w:r w:rsidRPr="00606F88">
        <w:rPr>
          <w:rFonts w:eastAsia="Times New Roman"/>
          <w:szCs w:val="22"/>
        </w:rPr>
        <w:t>Don’t ignore signs of illness: if you get sick, see a health care provider.</w:t>
      </w:r>
      <w:r w:rsidR="00303073" w:rsidRPr="00606F88">
        <w:rPr>
          <w:rFonts w:eastAsia="Times New Roman"/>
          <w:szCs w:val="22"/>
        </w:rPr>
        <w:t xml:space="preserve"> </w:t>
      </w:r>
    </w:p>
    <w:p w:rsidR="00A000D3" w:rsidRPr="00606F88" w:rsidRDefault="00D81E5C" w:rsidP="00F9158C">
      <w:pPr>
        <w:pStyle w:val="ListParagraph"/>
        <w:numPr>
          <w:ilvl w:val="0"/>
          <w:numId w:val="30"/>
        </w:numPr>
        <w:rPr>
          <w:rFonts w:eastAsia="Times New Roman" w:cs="Arial"/>
          <w:b/>
          <w:i/>
          <w:color w:val="5F497A" w:themeColor="accent4" w:themeShade="BF"/>
          <w:szCs w:val="22"/>
        </w:rPr>
      </w:pPr>
      <w:r w:rsidRPr="00606F88">
        <w:rPr>
          <w:rFonts w:eastAsia="Times New Roman" w:cs="Arial"/>
          <w:color w:val="000000"/>
          <w:szCs w:val="22"/>
        </w:rPr>
        <w:t>Pay attention to your mental and emotional health as well. Remember, taking good care of yourself can help the person you care for as well. Exercising and eating healthy also are importan</w:t>
      </w:r>
      <w:r w:rsidR="00303073" w:rsidRPr="00606F88">
        <w:rPr>
          <w:rFonts w:eastAsia="Times New Roman" w:cs="Arial"/>
          <w:color w:val="000000"/>
          <w:szCs w:val="22"/>
        </w:rPr>
        <w:t>t.</w:t>
      </w:r>
    </w:p>
    <w:p w:rsidR="00D81E5C" w:rsidRPr="00C80131" w:rsidRDefault="00CC5A88" w:rsidP="00C80131">
      <w:pPr>
        <w:rPr>
          <w:rStyle w:val="Strong"/>
        </w:rPr>
      </w:pPr>
      <w:r w:rsidRPr="00C80131">
        <w:rPr>
          <w:rStyle w:val="Strong"/>
        </w:rPr>
        <w:t>K</w:t>
      </w:r>
      <w:r w:rsidR="00D81E5C" w:rsidRPr="00C80131">
        <w:rPr>
          <w:rStyle w:val="Strong"/>
        </w:rPr>
        <w:t>eep Balance in the Family</w:t>
      </w:r>
    </w:p>
    <w:p w:rsidR="00D81E5C" w:rsidRPr="00606F88" w:rsidRDefault="00D81E5C" w:rsidP="00F9158C">
      <w:pPr>
        <w:pStyle w:val="ListParagraph"/>
        <w:numPr>
          <w:ilvl w:val="0"/>
          <w:numId w:val="31"/>
        </w:numPr>
        <w:rPr>
          <w:rFonts w:eastAsia="Times New Roman"/>
          <w:szCs w:val="22"/>
        </w:rPr>
      </w:pPr>
      <w:r w:rsidRPr="00606F88">
        <w:rPr>
          <w:rFonts w:eastAsia="Times New Roman"/>
          <w:szCs w:val="22"/>
        </w:rPr>
        <w:t>Family members with a disability may require extra care and attention. Take time for all family members, taking into account the needs of each individual. For example, it’s important for parents of a child with a disability to also spend time with each other and with any other children they might have.</w:t>
      </w:r>
    </w:p>
    <w:p w:rsidR="00D81E5C" w:rsidRPr="00606F88" w:rsidRDefault="00D81E5C" w:rsidP="00F9158C">
      <w:pPr>
        <w:pStyle w:val="ListParagraph"/>
        <w:numPr>
          <w:ilvl w:val="0"/>
          <w:numId w:val="31"/>
        </w:numPr>
        <w:rPr>
          <w:rFonts w:eastAsia="Times New Roman"/>
          <w:szCs w:val="22"/>
        </w:rPr>
      </w:pPr>
      <w:r w:rsidRPr="00606F88">
        <w:rPr>
          <w:rFonts w:eastAsia="Times New Roman"/>
          <w:szCs w:val="22"/>
        </w:rPr>
        <w:t>Consider respite care. "Respite" refers to short-term, temporary care provided to people with disabilities so that their families can take a break from the daily routine of care</w:t>
      </w:r>
      <w:r w:rsidR="00303073" w:rsidRPr="00606F88">
        <w:rPr>
          <w:rFonts w:eastAsia="Times New Roman"/>
          <w:szCs w:val="22"/>
        </w:rPr>
        <w:t>-</w:t>
      </w:r>
      <w:r w:rsidRPr="00606F88">
        <w:rPr>
          <w:rFonts w:eastAsia="Times New Roman"/>
          <w:szCs w:val="22"/>
        </w:rPr>
        <w:t>giving.</w:t>
      </w:r>
    </w:p>
    <w:p w:rsidR="00E93477" w:rsidRDefault="00E93477" w:rsidP="00E93477">
      <w:pPr>
        <w:pStyle w:val="ListParagraph"/>
        <w:numPr>
          <w:ilvl w:val="0"/>
          <w:numId w:val="0"/>
        </w:numPr>
        <w:spacing w:after="120"/>
        <w:ind w:left="720"/>
        <w:outlineLvl w:val="5"/>
        <w:rPr>
          <w:rFonts w:eastAsia="Times New Roman" w:cs="Arial"/>
          <w:color w:val="000000"/>
          <w:szCs w:val="22"/>
        </w:rPr>
      </w:pPr>
    </w:p>
    <w:p w:rsidR="00C068DD" w:rsidRDefault="00C068DD">
      <w:pPr>
        <w:rPr>
          <w:rFonts w:eastAsia="Times New Roman" w:cs="Arial"/>
          <w:b/>
          <w:bCs/>
          <w:i/>
          <w:color w:val="1F497D" w:themeColor="text2"/>
          <w:kern w:val="36"/>
          <w:sz w:val="28"/>
          <w:szCs w:val="28"/>
        </w:rPr>
      </w:pPr>
      <w:r>
        <w:rPr>
          <w:rFonts w:eastAsia="Times New Roman" w:cs="Arial"/>
          <w:b/>
          <w:bCs/>
          <w:i/>
          <w:color w:val="1F497D" w:themeColor="text2"/>
          <w:kern w:val="36"/>
          <w:sz w:val="28"/>
          <w:szCs w:val="28"/>
        </w:rPr>
        <w:br w:type="page"/>
      </w:r>
    </w:p>
    <w:p w:rsidR="002A4018" w:rsidRPr="00007AA0" w:rsidRDefault="00944130" w:rsidP="00606F88">
      <w:pPr>
        <w:pStyle w:val="Caption"/>
        <w:rPr>
          <w:rFonts w:eastAsia="Times New Roman"/>
        </w:rPr>
      </w:pPr>
      <w:r>
        <w:lastRenderedPageBreak/>
        <w:t>Figure</w:t>
      </w:r>
      <w:r w:rsidR="002A4018" w:rsidRPr="00303073">
        <w:t xml:space="preserve">: </w:t>
      </w:r>
      <w:r w:rsidR="002A4018" w:rsidRPr="00007AA0">
        <w:rPr>
          <w:rFonts w:eastAsia="Times New Roman"/>
        </w:rPr>
        <w:t>Percent</w:t>
      </w:r>
      <w:r w:rsidR="002A4018" w:rsidRPr="004E2C08">
        <w:rPr>
          <w:rFonts w:eastAsia="Times New Roman"/>
        </w:rPr>
        <w:t>age of Adults Aged 18–69 Years w</w:t>
      </w:r>
      <w:r w:rsidR="002A4018" w:rsidRPr="00007AA0">
        <w:rPr>
          <w:rFonts w:eastAsia="Times New Roman"/>
        </w:rPr>
        <w:t>ith a Limitation in Their</w:t>
      </w:r>
      <w:r w:rsidR="004C2DE1">
        <w:rPr>
          <w:rFonts w:eastAsia="Times New Roman"/>
        </w:rPr>
        <w:br/>
      </w:r>
      <w:r w:rsidR="002A4018" w:rsidRPr="00007AA0">
        <w:rPr>
          <w:rFonts w:eastAsia="Times New Roman"/>
        </w:rPr>
        <w:t>Ability to Work Because of Health Problems, by Age Group</w:t>
      </w:r>
      <w:r w:rsidR="002A4018">
        <w:rPr>
          <w:rStyle w:val="FootnoteReference"/>
          <w:rFonts w:eastAsia="Times New Roman" w:cs="Arial"/>
          <w:b w:val="0"/>
          <w:bCs w:val="0"/>
          <w:kern w:val="36"/>
          <w:szCs w:val="24"/>
        </w:rPr>
        <w:footnoteReference w:id="18"/>
      </w:r>
    </w:p>
    <w:p w:rsidR="002A4018" w:rsidRPr="00007AA0" w:rsidRDefault="002A4018" w:rsidP="002A4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64157A" wp14:editId="4298CACD">
            <wp:extent cx="5345501" cy="2915728"/>
            <wp:effectExtent l="0" t="0" r="7620" b="0"/>
            <wp:docPr id="3" name="Picture 2" descr="The figure above shows the percentage of adults aged 18-69 years with a limitation in their ability to work because of health problems, by age group, in the United States during 2012. In 2012, approximately 7% of adults aged 18-69 years were unable to work, and approximately 3% were limited in their ability to work because of health problems. Adults aged 45-64 years and 65-69 years were about three times more likely than adults aged 18-44 years to be unable to work because of health problems. The percentage of adults limited in the their ability to work because of health problems also increased with age." title="Figure: Percentage of Adults Aged 18-69 Years with a Limitation in Their Ability to Work Because of Health Problems,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gure above shows the percentage of adults aged 18-69 years with a limitation in their ability to work because of health problems, by age group, in the United States during 2012. In 2012, approximately 7% of adults aged 18-69 years were unable to work, and approximately 3% were limited in their ability to work because of health problems. Adults aged 45-64 years and 65-69 years were about three times more likely than adults aged 18-44 years to be unable to work because of health problems. The percentage of adults limited in the their ability to work because of health problems also increased with age."/>
                    <pic:cNvPicPr>
                      <a:picLocks noChangeAspect="1" noChangeArrowheads="1"/>
                    </pic:cNvPicPr>
                  </pic:nvPicPr>
                  <pic:blipFill>
                    <a:blip r:embed="rId17" cstate="print"/>
                    <a:srcRect/>
                    <a:stretch>
                      <a:fillRect/>
                    </a:stretch>
                  </pic:blipFill>
                  <pic:spPr bwMode="auto">
                    <a:xfrm>
                      <a:off x="0" y="0"/>
                      <a:ext cx="5343525" cy="2914650"/>
                    </a:xfrm>
                    <a:prstGeom prst="rect">
                      <a:avLst/>
                    </a:prstGeom>
                    <a:noFill/>
                    <a:ln w="9525">
                      <a:noFill/>
                      <a:miter lim="800000"/>
                      <a:headEnd/>
                      <a:tailEnd/>
                    </a:ln>
                  </pic:spPr>
                </pic:pic>
              </a:graphicData>
            </a:graphic>
          </wp:inline>
        </w:drawing>
      </w:r>
    </w:p>
    <w:p w:rsidR="002A4018" w:rsidRDefault="002A4018" w:rsidP="004C2DE1">
      <w:pPr>
        <w:spacing w:before="240"/>
        <w:rPr>
          <w:rFonts w:eastAsia="Times New Roman"/>
        </w:rPr>
      </w:pPr>
      <w:r w:rsidRPr="00007AA0">
        <w:rPr>
          <w:rFonts w:eastAsia="Times New Roman"/>
        </w:rPr>
        <w:t>In 2012, approximately 7% of adults aged 18–69 years were unable to work, and approximately 3% were limited in their ability to work because of health problems. Adults aged 45–64 years and 65–69 years were about three times more likely than adults aged 18–44 years to be unable to work because of health problems. The percentage of adults limited in their ability to work because of health problems also increased with age.</w:t>
      </w:r>
    </w:p>
    <w:p w:rsidR="002A4018" w:rsidRPr="00262039" w:rsidRDefault="002A4018" w:rsidP="004C2DE1">
      <w:pPr>
        <w:rPr>
          <w:rFonts w:eastAsia="Times New Roman"/>
        </w:rPr>
      </w:pPr>
      <w:r w:rsidRPr="00007AA0">
        <w:rPr>
          <w:rFonts w:eastAsia="Times New Roman"/>
        </w:rPr>
        <w:t>Estimates are based on</w:t>
      </w:r>
      <w:r w:rsidRPr="00262039">
        <w:rPr>
          <w:rFonts w:eastAsia="Times New Roman"/>
        </w:rPr>
        <w:t>:</w:t>
      </w:r>
      <w:r w:rsidRPr="00007AA0">
        <w:rPr>
          <w:rFonts w:eastAsia="Times New Roman"/>
        </w:rPr>
        <w:t xml:space="preserve"> </w:t>
      </w:r>
    </w:p>
    <w:p w:rsidR="002A4018" w:rsidRPr="008418AB" w:rsidRDefault="002A4018" w:rsidP="00F9158C">
      <w:pPr>
        <w:pStyle w:val="ListParagraph"/>
        <w:numPr>
          <w:ilvl w:val="0"/>
          <w:numId w:val="62"/>
        </w:numPr>
        <w:rPr>
          <w:rFonts w:eastAsia="Times New Roman"/>
        </w:rPr>
      </w:pPr>
      <w:r w:rsidRPr="008418AB">
        <w:rPr>
          <w:rFonts w:eastAsia="Times New Roman"/>
        </w:rPr>
        <w:t xml:space="preserve">Household interviews of a sample of the civilian, non-institutionalized U.S. population. Persons with unknown work limitation status were excluded from the denominators. 95% confidence interval. </w:t>
      </w:r>
    </w:p>
    <w:p w:rsidR="002A4018" w:rsidRPr="004C2DE1" w:rsidRDefault="002A4018" w:rsidP="00F9158C">
      <w:pPr>
        <w:pStyle w:val="ListParagraph"/>
        <w:numPr>
          <w:ilvl w:val="0"/>
          <w:numId w:val="32"/>
        </w:numPr>
        <w:rPr>
          <w:rFonts w:eastAsia="Times New Roman"/>
          <w:szCs w:val="22"/>
        </w:rPr>
      </w:pPr>
      <w:r w:rsidRPr="004C2DE1">
        <w:rPr>
          <w:rFonts w:eastAsia="Times New Roman"/>
          <w:szCs w:val="22"/>
        </w:rPr>
        <w:t>Responses to the question: "Does a physical, mental, or emotional problem now keep family members aged ≥18 years from working at a job or business?" Respondents were asked to answer regarding themselves and other family members living in the same household</w:t>
      </w:r>
      <w:r w:rsidR="004C2DE1" w:rsidRPr="004C2DE1">
        <w:rPr>
          <w:rFonts w:eastAsia="Times New Roman"/>
          <w:szCs w:val="22"/>
        </w:rPr>
        <w:t>.</w:t>
      </w:r>
    </w:p>
    <w:p w:rsidR="008418AB" w:rsidRDefault="002A4018" w:rsidP="00F9158C">
      <w:pPr>
        <w:pStyle w:val="ListParagraph"/>
        <w:numPr>
          <w:ilvl w:val="0"/>
          <w:numId w:val="32"/>
        </w:numPr>
        <w:rPr>
          <w:rFonts w:eastAsia="Times New Roman"/>
          <w:szCs w:val="22"/>
        </w:rPr>
        <w:sectPr w:rsidR="008418AB" w:rsidSect="00A07593">
          <w:pgSz w:w="12240" w:h="15840"/>
          <w:pgMar w:top="1440" w:right="1440" w:bottom="1440" w:left="1440" w:header="720" w:footer="720" w:gutter="0"/>
          <w:cols w:space="720"/>
          <w:docGrid w:linePitch="360"/>
        </w:sectPr>
      </w:pPr>
      <w:r w:rsidRPr="004C2DE1">
        <w:rPr>
          <w:rFonts w:eastAsia="Times New Roman"/>
          <w:szCs w:val="22"/>
        </w:rPr>
        <w:t>For persons able to work, based on responses to the question, "Are [family members aged ≥18 years] limited in the kind or amount of work they can do because of a physical, mental, or emotional problem?" Respondents were asked to answer regarding themselves and other family member</w:t>
      </w:r>
      <w:r w:rsidR="004C29B2">
        <w:rPr>
          <w:rFonts w:eastAsia="Times New Roman"/>
          <w:szCs w:val="22"/>
        </w:rPr>
        <w:t>s living in the same household.</w:t>
      </w:r>
    </w:p>
    <w:p w:rsidR="00EF520A" w:rsidRPr="004C29B2" w:rsidRDefault="00EF520A" w:rsidP="004C29B2">
      <w:pPr>
        <w:rPr>
          <w:rFonts w:eastAsia="Times New Roman"/>
        </w:rPr>
      </w:pPr>
    </w:p>
    <w:p w:rsidR="00512525" w:rsidRPr="004C29B2" w:rsidRDefault="00512525" w:rsidP="004C29B2">
      <w:pPr>
        <w:pStyle w:val="ListParagraph"/>
        <w:numPr>
          <w:ilvl w:val="0"/>
          <w:numId w:val="0"/>
        </w:numPr>
        <w:autoSpaceDE w:val="0"/>
        <w:autoSpaceDN w:val="0"/>
        <w:adjustRightInd w:val="0"/>
        <w:spacing w:after="120" w:line="240" w:lineRule="auto"/>
        <w:rPr>
          <w:rFonts w:ascii="Verdana" w:eastAsiaTheme="minorHAnsi" w:hAnsi="Verdana" w:cs="Garamond-BoldCondensed"/>
          <w:b/>
          <w:bCs/>
          <w:i/>
          <w:color w:val="1F497D" w:themeColor="text2"/>
          <w:sz w:val="28"/>
          <w:szCs w:val="28"/>
        </w:rPr>
      </w:pPr>
      <w:bookmarkStart w:id="19" w:name="_Toc403370675"/>
      <w:r w:rsidRPr="004C2DE1">
        <w:rPr>
          <w:rStyle w:val="Heading2Char"/>
        </w:rPr>
        <w:t xml:space="preserve">Social </w:t>
      </w:r>
      <w:r w:rsidR="008418AB">
        <w:rPr>
          <w:rStyle w:val="Heading2Char"/>
        </w:rPr>
        <w:t xml:space="preserve">Security Income for People with </w:t>
      </w:r>
      <w:r w:rsidRPr="004C2DE1">
        <w:rPr>
          <w:rStyle w:val="Heading2Char"/>
        </w:rPr>
        <w:t>Disabilities</w:t>
      </w:r>
      <w:bookmarkEnd w:id="19"/>
      <w:r w:rsidRPr="004C2DE1">
        <w:rPr>
          <w:rStyle w:val="FootnoteReference"/>
          <w:rFonts w:eastAsiaTheme="minorHAnsi" w:cs="Arial"/>
          <w:b/>
          <w:bCs/>
          <w:sz w:val="28"/>
          <w:szCs w:val="28"/>
        </w:rPr>
        <w:footnoteReference w:id="19"/>
      </w:r>
      <w:r w:rsidRPr="00512525">
        <w:rPr>
          <w:rFonts w:ascii="Verdana" w:eastAsiaTheme="minorHAnsi" w:hAnsi="Verdana" w:cs="Garamond-BoldCondensed"/>
          <w:b/>
          <w:bCs/>
          <w:i/>
          <w:color w:val="1F497D" w:themeColor="text2"/>
          <w:sz w:val="28"/>
          <w:szCs w:val="28"/>
        </w:rPr>
        <w:t xml:space="preserve"> </w:t>
      </w:r>
    </w:p>
    <w:p w:rsidR="00512525" w:rsidRPr="00C81171" w:rsidRDefault="00512525" w:rsidP="004C2DE1">
      <w:pPr>
        <w:rPr>
          <w:rFonts w:eastAsiaTheme="minorHAnsi"/>
        </w:rPr>
      </w:pPr>
      <w:r w:rsidRPr="00512525">
        <w:rPr>
          <w:rFonts w:eastAsiaTheme="minorHAnsi"/>
        </w:rPr>
        <w:t>”About 4.8 million people in the 18-to-64 age group—about 2.4 percent of the U.S. population in that age group—received SSI payments in 2011 who qualify for SSI. Those recipients must demonstrate that their disability prevents them from participating in “substantial gainful activity,” which in 2012 is considered to mean work that would produce earnings of more than $1,010 a month. (That amount is adjusted annually for average wage growth.) Older adults are more likely than younger adults are to receive payments: Fewer than 2 percent of people between the ages of 18 and 29 receive payments; slightly more than 3 percent of people between the ages of 50 and 64 do. Especially among younger adults, eligibility for the program is determined most commonly on the basis of mental disability: Three quarters of participants ages 18 to 39 were awarded payments primarily because of a mental disorder. That share declines with age, as conditions such as spinal disorders and heart disease become more prevalent.</w:t>
      </w:r>
    </w:p>
    <w:p w:rsidR="00512525" w:rsidRPr="00512525" w:rsidRDefault="00512525" w:rsidP="004C2DE1">
      <w:pPr>
        <w:rPr>
          <w:rFonts w:eastAsiaTheme="minorHAnsi"/>
          <w:sz w:val="13"/>
          <w:szCs w:val="13"/>
        </w:rPr>
      </w:pPr>
      <w:r w:rsidRPr="00512525">
        <w:rPr>
          <w:rFonts w:eastAsiaTheme="minorHAnsi"/>
        </w:rPr>
        <w:t xml:space="preserve">”The share of adults ages 18 to 64 receiving SSI payments has increased over time, rising from slightly more than 1 percent of the population 30 years ago to more than 2 percent today. The change accelerated in the early 1990s, in part because of a loosening of disability standards for mental and musculoskeletal disorders that was passed in the Social Security Disability Benefits Reform Act of 1984 and implemented in subsequent years. That rule change increased the weight placed on applicants’ ability to function, thus reducing the weight put on medical diagnoses. Applications for SSI also increased in the early 1990s because the Social Security Administration (SSA) stepped up its public outreach </w:t>
      </w:r>
      <w:r>
        <w:rPr>
          <w:rFonts w:eastAsiaTheme="minorHAnsi"/>
        </w:rPr>
        <w:t xml:space="preserve">for </w:t>
      </w:r>
      <w:r w:rsidRPr="00512525">
        <w:rPr>
          <w:rFonts w:eastAsiaTheme="minorHAnsi"/>
        </w:rPr>
        <w:t>the program.</w:t>
      </w:r>
    </w:p>
    <w:p w:rsidR="00512525" w:rsidRPr="004C29B2" w:rsidRDefault="00512525" w:rsidP="004C29B2">
      <w:pPr>
        <w:rPr>
          <w:rStyle w:val="Strong"/>
        </w:rPr>
      </w:pPr>
      <w:r w:rsidRPr="004C29B2">
        <w:rPr>
          <w:rStyle w:val="Strong"/>
        </w:rPr>
        <w:t>Disabled Children under Age 18</w:t>
      </w:r>
    </w:p>
    <w:p w:rsidR="00512525" w:rsidRPr="00512525" w:rsidRDefault="00512525" w:rsidP="004C2DE1">
      <w:pPr>
        <w:rPr>
          <w:rFonts w:eastAsiaTheme="minorHAnsi"/>
        </w:rPr>
      </w:pPr>
      <w:r w:rsidRPr="00512525">
        <w:rPr>
          <w:rFonts w:eastAsiaTheme="minorHAnsi"/>
        </w:rPr>
        <w:t xml:space="preserve">“Children who qualify for SSI must be disabled and, in most cases, must live in a household with low income and few assets. To be considered disabled, a child must have a physical or mental impairment that results in marked and severe functional limitations and that is either expected to last for at least 12 consecutive months or to result in death. Most child recipients qualify because of a mental disorder. Disabled children normally require more support than other children do, and SSI payments help parents and other caregivers pay for disability-related expenses and help compensate for the lower wages that parents might earn because of the demands of caring for a disabled child. In all, 1.3 million disabled children are SSI recipients, or about 1 in 60 of those under the age of 18. </w:t>
      </w:r>
    </w:p>
    <w:p w:rsidR="00C162C1" w:rsidRDefault="00512525" w:rsidP="004C2DE1">
      <w:pPr>
        <w:rPr>
          <w:rFonts w:eastAsiaTheme="minorHAnsi"/>
        </w:rPr>
        <w:sectPr w:rsidR="00C162C1" w:rsidSect="00A07593">
          <w:pgSz w:w="12240" w:h="15840"/>
          <w:pgMar w:top="1440" w:right="1440" w:bottom="1440" w:left="1440" w:header="720" w:footer="720" w:gutter="0"/>
          <w:cols w:space="720"/>
          <w:docGrid w:linePitch="360"/>
        </w:sectPr>
      </w:pPr>
      <w:r w:rsidRPr="00512525">
        <w:rPr>
          <w:rFonts w:eastAsiaTheme="minorHAnsi"/>
        </w:rPr>
        <w:t xml:space="preserve">“Rising poverty also seems to have contributed to growth in the number of child SSI recipients. Simply being poor is not a guarantee that an applicant will meet the SSI income and asset tests, but poor people are more likely to meet those tests, so an increase in the poverty rate generally leads to an increase in the number of SSI recipients. </w:t>
      </w:r>
    </w:p>
    <w:p w:rsidR="00512525" w:rsidRPr="004C2DE1" w:rsidRDefault="00512525" w:rsidP="004C2DE1">
      <w:pPr>
        <w:rPr>
          <w:rFonts w:eastAsiaTheme="minorHAnsi"/>
          <w:b/>
          <w:bCs/>
        </w:rPr>
      </w:pPr>
    </w:p>
    <w:p w:rsidR="00512525" w:rsidRPr="004C29B2" w:rsidRDefault="00512525" w:rsidP="004C29B2">
      <w:pPr>
        <w:rPr>
          <w:rStyle w:val="Strong"/>
        </w:rPr>
      </w:pPr>
      <w:r w:rsidRPr="004C29B2">
        <w:rPr>
          <w:rStyle w:val="Strong"/>
        </w:rPr>
        <w:t>Adults Age 65 or Older</w:t>
      </w:r>
    </w:p>
    <w:p w:rsidR="00512525" w:rsidRDefault="00512525" w:rsidP="004C2DE1">
      <w:pPr>
        <w:rPr>
          <w:rFonts w:eastAsiaTheme="minorHAnsi"/>
        </w:rPr>
      </w:pPr>
      <w:r w:rsidRPr="00512525">
        <w:rPr>
          <w:rFonts w:eastAsiaTheme="minorHAnsi"/>
        </w:rPr>
        <w:t xml:space="preserve">“People age 65 or older can qualify for SSI on the basis of low income and assets alone; they need not be disabled. As a result, people in that age group are more likely than younger people are to qualify for the program; about 2.1 million, or 5 percent of the elderly population, do. (About half of those recipients qualified as disabled recipients before they turned 65.)” </w:t>
      </w:r>
    </w:p>
    <w:p w:rsidR="00B7384C" w:rsidRPr="00B7384C" w:rsidRDefault="00B7384C" w:rsidP="00B7384C">
      <w:pPr>
        <w:rPr>
          <w:rStyle w:val="Strong"/>
          <w:vertAlign w:val="superscript"/>
        </w:rPr>
      </w:pPr>
      <w:r w:rsidRPr="00B7384C">
        <w:rPr>
          <w:rStyle w:val="Strong"/>
        </w:rPr>
        <w:t>Healthy People 2020 Disability and Health Objectives</w:t>
      </w:r>
      <w:r w:rsidRPr="00B7384C">
        <w:rPr>
          <w:rStyle w:val="Strong"/>
          <w:vertAlign w:val="superscript"/>
        </w:rPr>
        <w:footnoteReference w:id="20"/>
      </w:r>
    </w:p>
    <w:p w:rsidR="00B7384C" w:rsidRPr="00B7384C" w:rsidRDefault="00B7384C" w:rsidP="00B7384C">
      <w:pPr>
        <w:rPr>
          <w:rFonts w:eastAsiaTheme="minorHAnsi"/>
        </w:rPr>
      </w:pPr>
      <w:r w:rsidRPr="00B7384C">
        <w:rPr>
          <w:rStyle w:val="Strong"/>
        </w:rPr>
        <w:t>DH-1</w:t>
      </w:r>
      <w:r w:rsidRPr="00B7384C">
        <w:rPr>
          <w:rFonts w:eastAsiaTheme="minorHAnsi"/>
        </w:rPr>
        <w:t xml:space="preserve"> Increase the number of population-based data systems used to monitor Healthy People 2020 objectives that include in their core a standardized set of questions that ide</w:t>
      </w:r>
      <w:r>
        <w:rPr>
          <w:rFonts w:eastAsiaTheme="minorHAnsi"/>
        </w:rPr>
        <w:t>ntify people with disabilities.</w:t>
      </w:r>
    </w:p>
    <w:p w:rsidR="00B7384C" w:rsidRPr="00B7384C" w:rsidRDefault="00B7384C" w:rsidP="00B7384C">
      <w:pPr>
        <w:rPr>
          <w:rFonts w:eastAsiaTheme="minorHAnsi"/>
        </w:rPr>
      </w:pPr>
      <w:r w:rsidRPr="00B7384C">
        <w:rPr>
          <w:rStyle w:val="Strong"/>
        </w:rPr>
        <w:t>DH-2</w:t>
      </w:r>
      <w:r w:rsidRPr="00B7384C">
        <w:rPr>
          <w:rFonts w:eastAsiaTheme="minorHAnsi"/>
        </w:rPr>
        <w:t xml:space="preserve"> Increase the number of Tribes, States, and the District of Columbia that have public health surveillance and health promotion programs for people with disabilities and caregivers. </w:t>
      </w:r>
    </w:p>
    <w:p w:rsidR="00B7384C" w:rsidRPr="00B7384C" w:rsidRDefault="00B7384C" w:rsidP="00B7384C">
      <w:pPr>
        <w:rPr>
          <w:rFonts w:eastAsiaTheme="minorHAnsi"/>
        </w:rPr>
      </w:pPr>
      <w:r w:rsidRPr="00B7384C">
        <w:rPr>
          <w:rStyle w:val="Strong"/>
        </w:rPr>
        <w:t>DH-3</w:t>
      </w:r>
      <w:r w:rsidRPr="00B7384C">
        <w:rPr>
          <w:rFonts w:eastAsiaTheme="minorHAnsi"/>
        </w:rPr>
        <w:t xml:space="preserve"> (Developmental) Increase the proportion of US master of Public Health (MPH) programs that offer graduate-level courses in disability and health. </w:t>
      </w:r>
    </w:p>
    <w:p w:rsidR="00B7384C" w:rsidRPr="00B7384C" w:rsidRDefault="00B7384C" w:rsidP="00B7384C">
      <w:pPr>
        <w:rPr>
          <w:rFonts w:eastAsiaTheme="minorHAnsi"/>
        </w:rPr>
      </w:pPr>
      <w:r w:rsidRPr="00B7384C">
        <w:rPr>
          <w:rStyle w:val="Strong"/>
        </w:rPr>
        <w:t>DH-4</w:t>
      </w:r>
      <w:r w:rsidRPr="00B7384C">
        <w:rPr>
          <w:rFonts w:eastAsiaTheme="minorHAnsi"/>
        </w:rPr>
        <w:t xml:space="preserve"> (Developmental) Reduce the proportion of people with disabilities who report delays in receiving primary and periodic preventive care due to specific barriers.</w:t>
      </w:r>
    </w:p>
    <w:p w:rsidR="00B7384C" w:rsidRPr="00B7384C" w:rsidRDefault="00B7384C" w:rsidP="00B7384C">
      <w:pPr>
        <w:rPr>
          <w:rFonts w:eastAsiaTheme="minorHAnsi"/>
        </w:rPr>
      </w:pPr>
      <w:r w:rsidRPr="00B7384C">
        <w:rPr>
          <w:rStyle w:val="Strong"/>
        </w:rPr>
        <w:t>DH-5</w:t>
      </w:r>
      <w:r w:rsidRPr="00B7384C">
        <w:rPr>
          <w:rFonts w:eastAsiaTheme="minorHAnsi"/>
        </w:rPr>
        <w:t xml:space="preserve"> Increase the proportion of youth with special health care needs whose health care provider has discussed transition planning for pediatric to adult health care.</w:t>
      </w:r>
    </w:p>
    <w:p w:rsidR="00B7384C" w:rsidRPr="00B7384C" w:rsidRDefault="00B7384C" w:rsidP="00B7384C">
      <w:pPr>
        <w:rPr>
          <w:rFonts w:eastAsiaTheme="minorHAnsi"/>
        </w:rPr>
      </w:pPr>
      <w:r w:rsidRPr="00B7384C">
        <w:rPr>
          <w:rStyle w:val="Strong"/>
        </w:rPr>
        <w:t>DH-6</w:t>
      </w:r>
      <w:r w:rsidRPr="00B7384C">
        <w:rPr>
          <w:rFonts w:eastAsiaTheme="minorHAnsi"/>
        </w:rPr>
        <w:t xml:space="preserve"> (Developmental) Increase the proportion of people with epilepsy and uncontrolled seizures who receive appropriate medical care.</w:t>
      </w:r>
    </w:p>
    <w:p w:rsidR="00B7384C" w:rsidRPr="00B7384C" w:rsidRDefault="00B7384C" w:rsidP="00B7384C">
      <w:pPr>
        <w:rPr>
          <w:rFonts w:eastAsiaTheme="minorHAnsi"/>
        </w:rPr>
      </w:pPr>
      <w:r w:rsidRPr="00B7384C">
        <w:rPr>
          <w:rStyle w:val="Strong"/>
        </w:rPr>
        <w:t>DH-7</w:t>
      </w:r>
      <w:r w:rsidRPr="00B7384C">
        <w:rPr>
          <w:rFonts w:eastAsiaTheme="minorHAnsi"/>
        </w:rPr>
        <w:t xml:space="preserve"> (Developmental)  Reduce the proportion of older adults with disabilities who use inappropriate medications. </w:t>
      </w:r>
    </w:p>
    <w:p w:rsidR="00B7384C" w:rsidRPr="00B7384C" w:rsidRDefault="00B7384C" w:rsidP="00B7384C">
      <w:pPr>
        <w:rPr>
          <w:rFonts w:eastAsiaTheme="minorHAnsi"/>
        </w:rPr>
      </w:pPr>
      <w:r w:rsidRPr="00B7384C">
        <w:rPr>
          <w:rStyle w:val="Strong"/>
        </w:rPr>
        <w:t>DH-8</w:t>
      </w:r>
      <w:r w:rsidRPr="00B7384C">
        <w:rPr>
          <w:rFonts w:eastAsiaTheme="minorHAnsi"/>
        </w:rPr>
        <w:t xml:space="preserve"> (Developmental) Reduce the proportion of people with disabilities who report physical or program barriers to local health and wellness programs.</w:t>
      </w:r>
    </w:p>
    <w:p w:rsidR="00B7384C" w:rsidRPr="00B7384C" w:rsidRDefault="00B7384C" w:rsidP="00B7384C">
      <w:pPr>
        <w:rPr>
          <w:rFonts w:eastAsiaTheme="minorHAnsi"/>
        </w:rPr>
      </w:pPr>
      <w:r w:rsidRPr="00B7384C">
        <w:rPr>
          <w:rStyle w:val="Strong"/>
        </w:rPr>
        <w:t>DH-9</w:t>
      </w:r>
      <w:r w:rsidRPr="00B7384C">
        <w:rPr>
          <w:rFonts w:eastAsiaTheme="minorHAnsi"/>
        </w:rPr>
        <w:t xml:space="preserve"> (Developmental) Reduce the proportion of people with disabilities who encounter barriers to participating in home, school, work, or community activities.</w:t>
      </w:r>
    </w:p>
    <w:p w:rsidR="00B7384C" w:rsidRPr="00B7384C" w:rsidRDefault="00B7384C" w:rsidP="00B7384C">
      <w:pPr>
        <w:rPr>
          <w:rFonts w:eastAsiaTheme="minorHAnsi"/>
        </w:rPr>
      </w:pPr>
      <w:r w:rsidRPr="00B7384C">
        <w:rPr>
          <w:rStyle w:val="Strong"/>
        </w:rPr>
        <w:t>DH-10</w:t>
      </w:r>
      <w:r w:rsidRPr="00B7384C">
        <w:rPr>
          <w:rFonts w:eastAsiaTheme="minorHAnsi"/>
        </w:rPr>
        <w:t xml:space="preserve"> (Developmental) Reduce the proportion of people wit12h disabilities who report barriers to obtaining the assistive devices, service animals, technology services, and accessible technologies that they need.</w:t>
      </w:r>
    </w:p>
    <w:p w:rsidR="00B7384C" w:rsidRPr="00B7384C" w:rsidRDefault="00B7384C" w:rsidP="00B7384C">
      <w:pPr>
        <w:rPr>
          <w:rFonts w:eastAsiaTheme="minorHAnsi"/>
        </w:rPr>
      </w:pPr>
      <w:r w:rsidRPr="00B7384C">
        <w:rPr>
          <w:rStyle w:val="Strong"/>
        </w:rPr>
        <w:t>DH-11</w:t>
      </w:r>
      <w:r w:rsidRPr="00B7384C">
        <w:rPr>
          <w:rFonts w:eastAsiaTheme="minorHAnsi"/>
        </w:rPr>
        <w:t xml:space="preserve"> Increase the proportion of newly constructed and retrofitted U.S. homes and residential buildings that have visitable features.</w:t>
      </w:r>
    </w:p>
    <w:p w:rsidR="00B7384C" w:rsidRPr="00B7384C" w:rsidRDefault="00B7384C" w:rsidP="00B7384C">
      <w:pPr>
        <w:rPr>
          <w:rFonts w:eastAsiaTheme="minorHAnsi"/>
        </w:rPr>
      </w:pPr>
      <w:r w:rsidRPr="00B7384C">
        <w:rPr>
          <w:rStyle w:val="Strong"/>
        </w:rPr>
        <w:t>DH-12</w:t>
      </w:r>
      <w:r w:rsidRPr="00B7384C">
        <w:rPr>
          <w:rFonts w:eastAsiaTheme="minorHAnsi"/>
        </w:rPr>
        <w:t xml:space="preserve"> Reduce the number of people with disabilities living in congregate care residences.</w:t>
      </w:r>
    </w:p>
    <w:p w:rsidR="00B7384C" w:rsidRPr="00B7384C" w:rsidRDefault="00B7384C" w:rsidP="00B7384C">
      <w:pPr>
        <w:rPr>
          <w:rFonts w:eastAsiaTheme="minorHAnsi"/>
        </w:rPr>
      </w:pPr>
      <w:r w:rsidRPr="00B7384C">
        <w:rPr>
          <w:rStyle w:val="Strong"/>
        </w:rPr>
        <w:lastRenderedPageBreak/>
        <w:t>DH-13</w:t>
      </w:r>
      <w:r w:rsidRPr="00B7384C">
        <w:rPr>
          <w:rFonts w:eastAsiaTheme="minorHAnsi"/>
        </w:rPr>
        <w:t xml:space="preserve"> (Developmental) Increase the proportion of PWD) who participate in social, spiritual recreational, community and civic activities to the degree that they wish.</w:t>
      </w:r>
    </w:p>
    <w:p w:rsidR="00B7384C" w:rsidRPr="00B7384C" w:rsidRDefault="00B7384C" w:rsidP="00B7384C">
      <w:pPr>
        <w:rPr>
          <w:rFonts w:eastAsiaTheme="minorHAnsi"/>
        </w:rPr>
      </w:pPr>
      <w:r w:rsidRPr="00B7384C">
        <w:rPr>
          <w:rStyle w:val="Strong"/>
        </w:rPr>
        <w:t>DH-14</w:t>
      </w:r>
      <w:r w:rsidRPr="00B7384C">
        <w:rPr>
          <w:rFonts w:eastAsiaTheme="minorHAnsi"/>
        </w:rPr>
        <w:t xml:space="preserve"> Increase the proportion of children and youth with disabilities who spend at least 80% of their time in regular education programs.</w:t>
      </w:r>
    </w:p>
    <w:p w:rsidR="00B7384C" w:rsidRPr="00B7384C" w:rsidRDefault="00B7384C" w:rsidP="00B7384C">
      <w:pPr>
        <w:rPr>
          <w:rFonts w:eastAsiaTheme="minorHAnsi"/>
        </w:rPr>
      </w:pPr>
      <w:r w:rsidRPr="00B7384C">
        <w:rPr>
          <w:rStyle w:val="Strong"/>
        </w:rPr>
        <w:t>DH-15</w:t>
      </w:r>
      <w:r w:rsidRPr="00B7384C">
        <w:rPr>
          <w:rFonts w:eastAsiaTheme="minorHAnsi"/>
        </w:rPr>
        <w:t xml:space="preserve"> Reduce unemployment among PWD.</w:t>
      </w:r>
    </w:p>
    <w:p w:rsidR="00B7384C" w:rsidRPr="00B7384C" w:rsidRDefault="00B7384C" w:rsidP="00B7384C">
      <w:pPr>
        <w:rPr>
          <w:rFonts w:eastAsiaTheme="minorHAnsi"/>
        </w:rPr>
      </w:pPr>
      <w:r w:rsidRPr="00B7384C">
        <w:rPr>
          <w:rStyle w:val="Strong"/>
        </w:rPr>
        <w:t>DH-16</w:t>
      </w:r>
      <w:r w:rsidRPr="00B7384C">
        <w:rPr>
          <w:rFonts w:eastAsiaTheme="minorHAnsi"/>
        </w:rPr>
        <w:t xml:space="preserve"> Increase employment among PWD.</w:t>
      </w:r>
    </w:p>
    <w:p w:rsidR="00B7384C" w:rsidRPr="00B7384C" w:rsidRDefault="00B7384C" w:rsidP="00B7384C">
      <w:pPr>
        <w:rPr>
          <w:rFonts w:eastAsiaTheme="minorHAnsi"/>
        </w:rPr>
      </w:pPr>
      <w:r w:rsidRPr="00B7384C">
        <w:rPr>
          <w:rStyle w:val="Strong"/>
        </w:rPr>
        <w:t>DH-17</w:t>
      </w:r>
      <w:r w:rsidRPr="00B7384C">
        <w:rPr>
          <w:rFonts w:eastAsiaTheme="minorHAnsi"/>
        </w:rPr>
        <w:t xml:space="preserve"> Increase the proportion of adults with disabilities who report sufficient social and emotional support.</w:t>
      </w:r>
    </w:p>
    <w:p w:rsidR="00B7384C" w:rsidRPr="00B7384C" w:rsidRDefault="00B7384C" w:rsidP="00B7384C">
      <w:pPr>
        <w:rPr>
          <w:rFonts w:eastAsiaTheme="minorHAnsi"/>
        </w:rPr>
      </w:pPr>
      <w:r w:rsidRPr="00B7384C">
        <w:rPr>
          <w:rStyle w:val="Strong"/>
        </w:rPr>
        <w:t>DH-18</w:t>
      </w:r>
      <w:r w:rsidRPr="00B7384C">
        <w:rPr>
          <w:rFonts w:eastAsiaTheme="minorHAnsi"/>
        </w:rPr>
        <w:t xml:space="preserve"> (Developmental) Reduce the proportion of PWD who report serious psychological distress.</w:t>
      </w:r>
    </w:p>
    <w:p w:rsidR="00B7384C" w:rsidRPr="00B7384C" w:rsidRDefault="00B7384C" w:rsidP="00B7384C">
      <w:pPr>
        <w:rPr>
          <w:rFonts w:eastAsiaTheme="minorHAnsi"/>
        </w:rPr>
      </w:pPr>
      <w:r w:rsidRPr="00B7384C">
        <w:rPr>
          <w:rStyle w:val="Strong"/>
        </w:rPr>
        <w:t>DH-19</w:t>
      </w:r>
      <w:r w:rsidRPr="00B7384C">
        <w:rPr>
          <w:rFonts w:eastAsiaTheme="minorHAnsi"/>
        </w:rPr>
        <w:t xml:space="preserve"> (Developmental) Reduce the proportion of PWD who experience nonfatal unintentional injuries that require medical care.</w:t>
      </w:r>
    </w:p>
    <w:p w:rsidR="006E6DCA" w:rsidRPr="00B7384C" w:rsidRDefault="00B7384C" w:rsidP="006E6DCA">
      <w:pPr>
        <w:rPr>
          <w:rFonts w:eastAsiaTheme="minorHAnsi"/>
        </w:rPr>
      </w:pPr>
      <w:r w:rsidRPr="00B7384C">
        <w:rPr>
          <w:rStyle w:val="Strong"/>
        </w:rPr>
        <w:t>DH-20</w:t>
      </w:r>
      <w:r w:rsidRPr="00B7384C">
        <w:rPr>
          <w:rFonts w:eastAsiaTheme="minorHAnsi"/>
        </w:rPr>
        <w:t xml:space="preserve"> Increase the proportion of children with disabilities, birth through age 2 years, who receive early intervention services in home or community-based settings.</w:t>
      </w:r>
      <w:bookmarkStart w:id="20" w:name="400"/>
      <w:bookmarkEnd w:id="20"/>
    </w:p>
    <w:p w:rsidR="00FA564E" w:rsidRDefault="00FA564E" w:rsidP="004C2DE1">
      <w:pPr>
        <w:pStyle w:val="Heading2"/>
      </w:pPr>
      <w:bookmarkStart w:id="21" w:name="_Toc403370676"/>
      <w:r w:rsidRPr="00513EEB">
        <w:t xml:space="preserve">Inequities in Education and Employment for </w:t>
      </w:r>
      <w:r w:rsidR="004C2DE1">
        <w:br/>
      </w:r>
      <w:r w:rsidRPr="00513EEB">
        <w:t>Persons with Disabilities</w:t>
      </w:r>
      <w:bookmarkEnd w:id="21"/>
    </w:p>
    <w:p w:rsidR="00513EEB" w:rsidRPr="00513EEB" w:rsidRDefault="00513EEB" w:rsidP="00513EEB">
      <w:pPr>
        <w:spacing w:after="0"/>
        <w:jc w:val="center"/>
        <w:rPr>
          <w:rFonts w:ascii="Verdana" w:hAnsi="Verdana" w:cs="Arial"/>
          <w:b/>
          <w:i/>
          <w:color w:val="1F497D" w:themeColor="text2"/>
          <w:sz w:val="12"/>
          <w:szCs w:val="12"/>
        </w:rPr>
      </w:pPr>
    </w:p>
    <w:p w:rsidR="00FA564E" w:rsidRPr="00FA564E" w:rsidRDefault="00FA564E" w:rsidP="004C2DE1">
      <w:r w:rsidRPr="00FA564E">
        <w:t xml:space="preserve">Education, employment, and poverty are inextricably tied. A March 2012 report from the Department of Education, Office for Civil Rights summarizes information from the Civil Rights Data Collection (CRDC), the first national data tool for analyzing equity and educational opportunities. The CRDC, from school year 2009-10, is a representative sample covering approximately </w:t>
      </w:r>
      <w:r w:rsidRPr="00FA564E">
        <w:rPr>
          <w:b/>
        </w:rPr>
        <w:t>85%</w:t>
      </w:r>
      <w:r w:rsidRPr="00FA564E">
        <w:t xml:space="preserve"> of the nation’s students. Data are disaggregated by race and ethnicity, English learner status, sex, and by disability under the IDEA and Section 504 statutes. The report reveals that:</w:t>
      </w:r>
    </w:p>
    <w:p w:rsidR="00FA564E" w:rsidRPr="004C2DE1" w:rsidRDefault="00FA564E" w:rsidP="00F9158C">
      <w:pPr>
        <w:pStyle w:val="ListParagraph"/>
        <w:numPr>
          <w:ilvl w:val="0"/>
          <w:numId w:val="33"/>
        </w:numPr>
        <w:rPr>
          <w:szCs w:val="22"/>
        </w:rPr>
      </w:pPr>
      <w:r w:rsidRPr="004C2DE1">
        <w:rPr>
          <w:szCs w:val="22"/>
        </w:rPr>
        <w:t xml:space="preserve">Students with disabilities are much more likely to be subject to </w:t>
      </w:r>
      <w:r w:rsidRPr="004C2DE1">
        <w:rPr>
          <w:b/>
          <w:i/>
          <w:szCs w:val="22"/>
        </w:rPr>
        <w:t>seclusion and restraint</w:t>
      </w:r>
      <w:r w:rsidRPr="004C2DE1">
        <w:rPr>
          <w:szCs w:val="22"/>
        </w:rPr>
        <w:t xml:space="preserve">; </w:t>
      </w:r>
    </w:p>
    <w:p w:rsidR="00FA564E" w:rsidRPr="004C2DE1" w:rsidRDefault="00FA564E" w:rsidP="00F9158C">
      <w:pPr>
        <w:pStyle w:val="ListParagraph"/>
        <w:numPr>
          <w:ilvl w:val="0"/>
          <w:numId w:val="33"/>
        </w:numPr>
        <w:rPr>
          <w:szCs w:val="22"/>
        </w:rPr>
      </w:pPr>
      <w:r w:rsidRPr="004C2DE1">
        <w:rPr>
          <w:szCs w:val="22"/>
        </w:rPr>
        <w:t xml:space="preserve">Students with disabilities from minority racial or ethnic backgrounds, as well as male students, are even </w:t>
      </w:r>
      <w:r w:rsidRPr="004C2DE1">
        <w:rPr>
          <w:b/>
          <w:i/>
          <w:szCs w:val="22"/>
        </w:rPr>
        <w:t>more likely</w:t>
      </w:r>
      <w:r w:rsidRPr="004C2DE1">
        <w:rPr>
          <w:szCs w:val="22"/>
        </w:rPr>
        <w:t xml:space="preserve"> to be secluded or restrained; </w:t>
      </w:r>
    </w:p>
    <w:p w:rsidR="00FA564E" w:rsidRPr="00FA564E" w:rsidRDefault="00FA564E" w:rsidP="00F9158C">
      <w:pPr>
        <w:pStyle w:val="ListParagraph"/>
        <w:numPr>
          <w:ilvl w:val="0"/>
          <w:numId w:val="33"/>
        </w:numPr>
      </w:pPr>
      <w:r w:rsidRPr="004C2DE1">
        <w:rPr>
          <w:szCs w:val="22"/>
        </w:rPr>
        <w:t xml:space="preserve">Students covered under IDEA are more than </w:t>
      </w:r>
      <w:r w:rsidRPr="004C2DE1">
        <w:rPr>
          <w:b/>
          <w:i/>
          <w:szCs w:val="22"/>
        </w:rPr>
        <w:t>twice as likely</w:t>
      </w:r>
      <w:r w:rsidRPr="004C2DE1">
        <w:rPr>
          <w:szCs w:val="22"/>
        </w:rPr>
        <w:t xml:space="preserve"> to receive one or more out-of-school suspensions</w:t>
      </w:r>
      <w:r w:rsidRPr="004C2DE1">
        <w:rPr>
          <w:b/>
          <w:szCs w:val="22"/>
        </w:rPr>
        <w:t xml:space="preserve"> </w:t>
      </w:r>
      <w:r w:rsidRPr="004C2DE1">
        <w:rPr>
          <w:szCs w:val="22"/>
        </w:rPr>
        <w:t>(Non-IDEA Students = 6%; IDEA Students = 13%).</w:t>
      </w:r>
      <w:r w:rsidRPr="00FA564E">
        <w:rPr>
          <w:rStyle w:val="FootnoteReference"/>
          <w:rFonts w:cs="Arial"/>
          <w:b/>
          <w:sz w:val="21"/>
          <w:szCs w:val="21"/>
        </w:rPr>
        <w:footnoteReference w:id="21"/>
      </w:r>
      <w:r w:rsidRPr="00FA564E">
        <w:t xml:space="preserve"> </w:t>
      </w:r>
    </w:p>
    <w:p w:rsidR="00FA564E" w:rsidRPr="004C2DE1" w:rsidRDefault="00FA564E" w:rsidP="00F9158C">
      <w:pPr>
        <w:pStyle w:val="ListParagraph"/>
        <w:numPr>
          <w:ilvl w:val="0"/>
          <w:numId w:val="33"/>
        </w:numPr>
        <w:spacing w:after="120"/>
        <w:rPr>
          <w:rFonts w:cs="Arial"/>
          <w:sz w:val="21"/>
          <w:szCs w:val="21"/>
        </w:rPr>
      </w:pPr>
      <w:r w:rsidRPr="004C2DE1">
        <w:rPr>
          <w:szCs w:val="22"/>
        </w:rPr>
        <w:t>Students with disabilities (under the IDEA and Section 504 statutes) represent 12% of students in the sample, but nearly 70% of the students who are physically restrained by adults in their schools.</w:t>
      </w:r>
      <w:r w:rsidRPr="00FA564E">
        <w:rPr>
          <w:rStyle w:val="FootnoteReference"/>
          <w:rFonts w:cs="Arial"/>
          <w:sz w:val="21"/>
          <w:szCs w:val="21"/>
        </w:rPr>
        <w:footnoteReference w:id="22"/>
      </w:r>
      <w:r w:rsidRPr="004C2DE1">
        <w:rPr>
          <w:rFonts w:cs="Arial"/>
          <w:sz w:val="21"/>
          <w:szCs w:val="21"/>
        </w:rPr>
        <w:t xml:space="preserve"> </w:t>
      </w:r>
    </w:p>
    <w:p w:rsidR="00FA564E" w:rsidRPr="00B8400C" w:rsidRDefault="00FA564E" w:rsidP="00B8400C">
      <w:pPr>
        <w:tabs>
          <w:tab w:val="left" w:pos="2340"/>
        </w:tabs>
        <w:spacing w:after="0"/>
        <w:rPr>
          <w:rFonts w:cs="Arial"/>
        </w:rPr>
      </w:pPr>
      <w:r w:rsidRPr="00B8400C">
        <w:rPr>
          <w:rFonts w:cs="Arial"/>
        </w:rPr>
        <w:lastRenderedPageBreak/>
        <w:t xml:space="preserve">“Throughout the world there is an undeniable link between disability, poverty and exclusion. The denial of equal employment opportunities to people with disabilities forms one of the root causes of the poverty and exclusion of many members of this group.  There is ample evidence that people with disabilities are more likely than non-disabled persons to experience disadvantage, exclusion and discrimination in the labor market and elsewhere.  As a result of these experiences, people with disabilities are disproportionately affected by unemployment.  When they work, they can often be found outside the formal labor market, performing uninspiring low-paid and low-skilled jobs, offering </w:t>
      </w:r>
      <w:r w:rsidR="00D60B94" w:rsidRPr="00B8400C">
        <w:rPr>
          <w:rFonts w:cs="Arial"/>
        </w:rPr>
        <w:t>l</w:t>
      </w:r>
      <w:r w:rsidRPr="00B8400C">
        <w:rPr>
          <w:rFonts w:cs="Arial"/>
        </w:rPr>
        <w:t>ittle or no opportunities for job promotion or other forms of career progression.  Employees with disabilities are often under-employed.</w:t>
      </w:r>
      <w:r w:rsidRPr="00FA564E">
        <w:rPr>
          <w:rFonts w:cs="Arial"/>
          <w:sz w:val="21"/>
          <w:szCs w:val="21"/>
        </w:rPr>
        <w:t>”</w:t>
      </w:r>
      <w:r w:rsidRPr="00FA564E">
        <w:rPr>
          <w:rStyle w:val="FootnoteReference"/>
          <w:rFonts w:cs="Arial"/>
          <w:sz w:val="21"/>
          <w:szCs w:val="21"/>
        </w:rPr>
        <w:footnoteReference w:id="23"/>
      </w:r>
    </w:p>
    <w:p w:rsidR="00D24063" w:rsidRPr="00513EEB" w:rsidRDefault="00D24063" w:rsidP="00B8400C">
      <w:pPr>
        <w:pStyle w:val="Heading2"/>
      </w:pPr>
      <w:bookmarkStart w:id="22" w:name="_Toc403370677"/>
      <w:r w:rsidRPr="00513EEB">
        <w:t xml:space="preserve">Montana Disability and Health (MTDH) Program </w:t>
      </w:r>
      <w:r w:rsidR="00B8400C">
        <w:br/>
      </w:r>
      <w:r w:rsidRPr="00513EEB">
        <w:t>Target Population</w:t>
      </w:r>
      <w:bookmarkEnd w:id="22"/>
    </w:p>
    <w:p w:rsidR="00D24063" w:rsidRPr="00D24063" w:rsidRDefault="00D24063" w:rsidP="00B8400C">
      <w:r w:rsidRPr="00D24063">
        <w:t xml:space="preserve">The MTDH Program has demonstrated advanced capacity in working with: </w:t>
      </w:r>
    </w:p>
    <w:p w:rsidR="00D24063" w:rsidRPr="00B8400C" w:rsidRDefault="00D24063" w:rsidP="00F9158C">
      <w:pPr>
        <w:pStyle w:val="ListParagraph"/>
        <w:numPr>
          <w:ilvl w:val="0"/>
          <w:numId w:val="34"/>
        </w:numPr>
        <w:rPr>
          <w:szCs w:val="22"/>
        </w:rPr>
      </w:pPr>
      <w:r w:rsidRPr="00B8400C">
        <w:rPr>
          <w:szCs w:val="22"/>
        </w:rPr>
        <w:t>Adults with disabilities related to mobility impairments, and</w:t>
      </w:r>
    </w:p>
    <w:p w:rsidR="00D24063" w:rsidRPr="00B8400C" w:rsidRDefault="00D24063" w:rsidP="00F9158C">
      <w:pPr>
        <w:pStyle w:val="ListParagraph"/>
        <w:numPr>
          <w:ilvl w:val="0"/>
          <w:numId w:val="34"/>
        </w:numPr>
        <w:rPr>
          <w:szCs w:val="22"/>
        </w:rPr>
      </w:pPr>
      <w:r w:rsidRPr="00B8400C">
        <w:rPr>
          <w:szCs w:val="22"/>
        </w:rPr>
        <w:t xml:space="preserve">Adults with developmental disabilities (I/DD) residing in supported living arrangements operated under contract with state agencies.  </w:t>
      </w:r>
    </w:p>
    <w:p w:rsidR="0016664F" w:rsidRDefault="00D24063" w:rsidP="0016664F">
      <w:r w:rsidRPr="00D24063">
        <w:t xml:space="preserve">In 2011, the MTDH Program expanded to include </w:t>
      </w:r>
      <w:r w:rsidRPr="00D24063">
        <w:rPr>
          <w:b/>
        </w:rPr>
        <w:t xml:space="preserve">all </w:t>
      </w:r>
      <w:r w:rsidRPr="00D24063">
        <w:t>persons with disabilities across the lifespan.</w:t>
      </w:r>
      <w:r>
        <w:t xml:space="preserve"> </w:t>
      </w:r>
      <w:r w:rsidRPr="00D24063">
        <w:t>This population includes babies born with disabling conditions, children and adults with intellectual and developmental disabilities (I/DD), and hearing, visi</w:t>
      </w:r>
      <w:r w:rsidR="00B8400C">
        <w:t>on, and/or mobility impairments.</w:t>
      </w:r>
    </w:p>
    <w:p w:rsidR="00B8400C" w:rsidRPr="00B8400C" w:rsidRDefault="0016664F" w:rsidP="0016664F">
      <w:pPr>
        <w:pStyle w:val="Heading2"/>
      </w:pPr>
      <w:r w:rsidRPr="009D57DD">
        <w:t xml:space="preserve"> </w:t>
      </w:r>
      <w:bookmarkStart w:id="23" w:name="_Toc403370678"/>
      <w:r w:rsidR="00B8400C" w:rsidRPr="009D57DD">
        <w:t>Disability Report Summary and Highlights</w:t>
      </w:r>
      <w:bookmarkEnd w:id="23"/>
    </w:p>
    <w:p w:rsidR="004B5F6F" w:rsidRPr="00B675A9" w:rsidRDefault="00B02390" w:rsidP="00B8400C">
      <w:r w:rsidRPr="00B675A9">
        <w:t>”</w:t>
      </w:r>
      <w:r w:rsidR="005B1804" w:rsidRPr="00B675A9">
        <w:t xml:space="preserve">A life course approach to chronic disease epidemiology uses a multidisciplinary framework to understand the importance of time and timing in associations between exposures and outcomes at the individual and population levels. Such an approach to chronic diseases is enriched by specification of the particular way that time and timing in relation to physical growth, reproduction, infection, social mobility, and behavioral transitions, etc., influence various adult chronic diseases in different ways, and more ambitiously, by how these temporal processes are interconnected and manifested in population-level disease trends. </w:t>
      </w:r>
    </w:p>
    <w:p w:rsidR="00BD3195" w:rsidRDefault="004B5F6F" w:rsidP="0016664F">
      <w:pPr>
        <w:rPr>
          <w:rStyle w:val="Strong"/>
          <w:b w:val="0"/>
          <w:bCs w:val="0"/>
        </w:rPr>
      </w:pPr>
      <w:r w:rsidRPr="00B675A9">
        <w:t xml:space="preserve">Researchers John Lynch and George Davey Smith have studied life course epidemiology and theoretical models of life course processes, and have reviewed the empirical evidence linking life course processes to coronary heart disease, hemorrhagic stroke, type II diabetes, breast cancer, and chronic obstructive pulmonary disease.  A life course approach offers a way to conceptualize how underlying socio-environmental determinants of health, experienced at </w:t>
      </w:r>
      <w:r w:rsidRPr="00B675A9">
        <w:lastRenderedPageBreak/>
        <w:t>different life course stages, can differentially influence the development of chronic diseases, as mediated through proximal specific biological processes.</w:t>
      </w:r>
      <w:r w:rsidRPr="00B675A9">
        <w:rPr>
          <w:rStyle w:val="FootnoteReference"/>
          <w:rFonts w:cs="Arial"/>
          <w:color w:val="000000"/>
        </w:rPr>
        <w:footnoteReference w:id="24"/>
      </w:r>
    </w:p>
    <w:p w:rsidR="0016664F" w:rsidRDefault="00BD3195" w:rsidP="0016664F">
      <w:pPr>
        <w:rPr>
          <w:rStyle w:val="Strong"/>
        </w:rPr>
      </w:pPr>
      <w:r w:rsidRPr="004C29B2">
        <w:rPr>
          <w:rStyle w:val="Strong"/>
        </w:rPr>
        <w:t xml:space="preserve"> </w:t>
      </w:r>
      <w:r w:rsidR="004B5F6F" w:rsidRPr="004C29B2">
        <w:rPr>
          <w:rStyle w:val="Strong"/>
        </w:rPr>
        <w:t>Developmental Disabilities</w:t>
      </w:r>
    </w:p>
    <w:p w:rsidR="004419D1" w:rsidRPr="0016664F" w:rsidRDefault="004B5F6F" w:rsidP="0016664F">
      <w:pPr>
        <w:rPr>
          <w:b/>
          <w:bCs/>
        </w:rPr>
      </w:pPr>
      <w:r w:rsidRPr="00B8400C">
        <w:t>The following data represent information on populations with disabilities in Montana across the life course and, when available, information regarding their health status and health risk behaviors.</w:t>
      </w:r>
      <w:r w:rsidR="00B02390" w:rsidRPr="00B8400C">
        <w:t>”</w:t>
      </w:r>
      <w:r w:rsidR="00EB5981" w:rsidRPr="00B675A9">
        <w:rPr>
          <w:rStyle w:val="FootnoteReference"/>
          <w:rFonts w:cs="Arial"/>
          <w:color w:val="000000"/>
        </w:rPr>
        <w:footnoteReference w:id="25"/>
      </w:r>
    </w:p>
    <w:p w:rsidR="004B5F6F" w:rsidRPr="00B8400C" w:rsidRDefault="004907D8" w:rsidP="00B8400C">
      <w:r w:rsidRPr="00B675A9">
        <w:rPr>
          <w:rFonts w:eastAsia="Times New Roman"/>
        </w:rPr>
        <w:t>“Skills such as taking a first step, smiling for the first time, and waving "bye bye" are called developmental milestones. Children reach milestones in how they play, learn, speak, behave, and move (crawling, walking, etc.).”</w:t>
      </w:r>
      <w:r w:rsidR="004E134C" w:rsidRPr="00B675A9">
        <w:rPr>
          <w:rFonts w:eastAsia="Times New Roman"/>
        </w:rPr>
        <w:t xml:space="preserve"> For more information, click on: </w:t>
      </w:r>
      <w:hyperlink r:id="rId18" w:history="1">
        <w:r w:rsidR="004E134C" w:rsidRPr="00B675A9">
          <w:rPr>
            <w:rStyle w:val="Hyperlink"/>
            <w:rFonts w:cs="Arial"/>
          </w:rPr>
          <w:t>http://www.cdc.gov/actearly</w:t>
        </w:r>
      </w:hyperlink>
    </w:p>
    <w:p w:rsidR="0016664F" w:rsidRDefault="001A28E9" w:rsidP="00A37288">
      <w:pPr>
        <w:rPr>
          <w:rFonts w:cs="Arial"/>
        </w:rPr>
      </w:pPr>
      <w:r w:rsidRPr="00B675A9">
        <w:t xml:space="preserve">Developmental </w:t>
      </w:r>
      <w:r w:rsidR="004B5F6F" w:rsidRPr="00B675A9">
        <w:t>disabilities include a diverse group of severe chronic conditions that are due to mental and/or physical impairments. People with developmental disabilities have problems with major life activities such as language, mobility, learning, self-help, and independent living. Developmental disabilities begin anytime during development up to 22 years of age and usually last throughout a person’s lifetime.</w:t>
      </w:r>
      <w:r w:rsidR="004B5F6F" w:rsidRPr="00B675A9">
        <w:rPr>
          <w:rStyle w:val="FootnoteReference"/>
          <w:rFonts w:cs="Arial"/>
        </w:rPr>
        <w:t>”</w:t>
      </w:r>
      <w:r w:rsidR="004B5F6F" w:rsidRPr="00B675A9">
        <w:rPr>
          <w:rStyle w:val="FootnoteReference"/>
          <w:rFonts w:cs="Arial"/>
        </w:rPr>
        <w:footnoteReference w:id="26"/>
      </w:r>
    </w:p>
    <w:p w:rsidR="001A28E9" w:rsidRPr="00B8400C" w:rsidRDefault="0016664F" w:rsidP="00A37288">
      <w:r w:rsidRPr="004C29B2">
        <w:rPr>
          <w:rStyle w:val="Strong"/>
        </w:rPr>
        <w:t xml:space="preserve"> </w:t>
      </w:r>
      <w:r w:rsidR="001A28E9" w:rsidRPr="004C29B2">
        <w:rPr>
          <w:rStyle w:val="Strong"/>
        </w:rPr>
        <w:t>Children’s Special Health Services</w:t>
      </w:r>
    </w:p>
    <w:p w:rsidR="001A28E9" w:rsidRPr="001A28E9" w:rsidRDefault="001A28E9" w:rsidP="00945259">
      <w:pPr>
        <w:spacing w:after="160"/>
        <w:rPr>
          <w:rFonts w:cs="Arial"/>
        </w:rPr>
      </w:pPr>
      <w:r w:rsidRPr="001A28E9">
        <w:rPr>
          <w:rFonts w:cs="Arial"/>
        </w:rPr>
        <w:t>“</w:t>
      </w:r>
      <w:r w:rsidRPr="001A28E9">
        <w:rPr>
          <w:rFonts w:cs="Arial"/>
          <w:i/>
        </w:rPr>
        <w:t>Children's Special Health Services</w:t>
      </w:r>
      <w:r w:rsidRPr="001A28E9">
        <w:rPr>
          <w:rFonts w:cs="Arial"/>
        </w:rPr>
        <w:t xml:space="preserve"> (CSHS),</w:t>
      </w:r>
      <w:r w:rsidRPr="001A28E9">
        <w:rPr>
          <w:rStyle w:val="FootnoteReference"/>
          <w:rFonts w:cs="Arial"/>
        </w:rPr>
        <w:footnoteReference w:id="27"/>
      </w:r>
      <w:r w:rsidRPr="001A28E9">
        <w:rPr>
          <w:rFonts w:cs="Arial"/>
        </w:rPr>
        <w:t xml:space="preserve"> is </w:t>
      </w:r>
      <w:r w:rsidR="00B675A9">
        <w:rPr>
          <w:rFonts w:cs="Arial"/>
        </w:rPr>
        <w:t xml:space="preserve">charged by the Federal Maternal and </w:t>
      </w:r>
      <w:r w:rsidRPr="001A28E9">
        <w:rPr>
          <w:rFonts w:cs="Arial"/>
        </w:rPr>
        <w:t>Child Health Bureau to: "Support development and implementation of comprehensive, culturally competent, coordinated systems of care for children and youth who have or are at risk for chronic physical, developmental,</w:t>
      </w:r>
      <w:r>
        <w:rPr>
          <w:rFonts w:cstheme="minorHAnsi"/>
          <w:sz w:val="23"/>
          <w:szCs w:val="23"/>
        </w:rPr>
        <w:t xml:space="preserve"> </w:t>
      </w:r>
      <w:r w:rsidRPr="001A28E9">
        <w:rPr>
          <w:rFonts w:cs="Arial"/>
        </w:rPr>
        <w:t>behavioral or emotional conditions and who also require health and related services of a type or amount beyond that required by children generally.</w:t>
      </w:r>
    </w:p>
    <w:p w:rsidR="001A28E9" w:rsidRPr="001A28E9" w:rsidRDefault="001A28E9" w:rsidP="001A28E9">
      <w:pPr>
        <w:pStyle w:val="NormalWeb"/>
        <w:shd w:val="clear" w:color="auto" w:fill="FFFFFF"/>
        <w:spacing w:before="0" w:beforeAutospacing="0" w:after="60" w:afterAutospacing="0"/>
        <w:rPr>
          <w:rFonts w:ascii="Arial" w:hAnsi="Arial" w:cs="Arial"/>
          <w:sz w:val="22"/>
          <w:szCs w:val="22"/>
        </w:rPr>
      </w:pPr>
      <w:r w:rsidRPr="001A28E9">
        <w:rPr>
          <w:rFonts w:ascii="Arial" w:hAnsi="Arial" w:cs="Arial"/>
          <w:sz w:val="22"/>
          <w:szCs w:val="22"/>
        </w:rPr>
        <w:t xml:space="preserve">CSHS focuses on building, measuring, and monitoring a complex system of care for </w:t>
      </w:r>
      <w:r w:rsidRPr="001A28E9">
        <w:rPr>
          <w:rFonts w:ascii="Arial" w:hAnsi="Arial" w:cs="Arial"/>
          <w:i/>
          <w:sz w:val="22"/>
          <w:szCs w:val="22"/>
        </w:rPr>
        <w:t>Children and Youth Special Health Care Needs</w:t>
      </w:r>
      <w:r w:rsidRPr="001A28E9">
        <w:rPr>
          <w:rFonts w:ascii="Arial" w:hAnsi="Arial" w:cs="Arial"/>
          <w:sz w:val="22"/>
          <w:szCs w:val="22"/>
        </w:rPr>
        <w:t xml:space="preserve"> (CYSHCN) with the following goals:</w:t>
      </w:r>
    </w:p>
    <w:p w:rsidR="001A28E9" w:rsidRPr="00B8400C" w:rsidRDefault="001A28E9" w:rsidP="00F9158C">
      <w:pPr>
        <w:pStyle w:val="ListParagraph"/>
        <w:numPr>
          <w:ilvl w:val="0"/>
          <w:numId w:val="86"/>
        </w:numPr>
      </w:pPr>
      <w:r w:rsidRPr="00B8400C">
        <w:t>Assure family participation and satisfaction.</w:t>
      </w:r>
    </w:p>
    <w:p w:rsidR="001A28E9" w:rsidRPr="00B8400C" w:rsidRDefault="001A28E9" w:rsidP="00F9158C">
      <w:pPr>
        <w:pStyle w:val="ListParagraph"/>
        <w:numPr>
          <w:ilvl w:val="0"/>
          <w:numId w:val="86"/>
        </w:numPr>
      </w:pPr>
      <w:r w:rsidRPr="00B8400C">
        <w:t>Access to medical home so that CYSHCN have an identified source of ongoing routine health care in their community.</w:t>
      </w:r>
    </w:p>
    <w:p w:rsidR="001A28E9" w:rsidRPr="00B8400C" w:rsidRDefault="001A28E9" w:rsidP="00F9158C">
      <w:pPr>
        <w:pStyle w:val="ListParagraph"/>
        <w:numPr>
          <w:ilvl w:val="0"/>
          <w:numId w:val="86"/>
        </w:numPr>
      </w:pPr>
      <w:r w:rsidRPr="00B8400C">
        <w:t>Adequate insurance for CSHCN families. The state CHIP program can help address this need, but resources and partnerships with other programs to address under insurance and provide "wrap-around services" are needed.</w:t>
      </w:r>
    </w:p>
    <w:p w:rsidR="001A28E9" w:rsidRPr="00B8400C" w:rsidRDefault="001A28E9" w:rsidP="00F9158C">
      <w:pPr>
        <w:pStyle w:val="ListParagraph"/>
        <w:numPr>
          <w:ilvl w:val="0"/>
          <w:numId w:val="86"/>
        </w:numPr>
      </w:pPr>
      <w:r w:rsidRPr="00B8400C">
        <w:t>Access to community-based systems of care, organized in such a way that needs can be identified and services provided, and there are mechanisms to pay for them.</w:t>
      </w:r>
    </w:p>
    <w:p w:rsidR="001A28E9" w:rsidRPr="00B8400C" w:rsidRDefault="001A28E9" w:rsidP="00F9158C">
      <w:pPr>
        <w:pStyle w:val="ListParagraph"/>
        <w:numPr>
          <w:ilvl w:val="0"/>
          <w:numId w:val="86"/>
        </w:numPr>
      </w:pPr>
      <w:r w:rsidRPr="00B8400C">
        <w:t>Facilitate transition to adulthood so that youth with special health care needs can expect good health care, employment with benefits, and independence.</w:t>
      </w:r>
    </w:p>
    <w:p w:rsidR="001A28E9" w:rsidRPr="00B8400C" w:rsidRDefault="001A28E9" w:rsidP="00F9158C">
      <w:pPr>
        <w:pStyle w:val="ListParagraph"/>
        <w:numPr>
          <w:ilvl w:val="0"/>
          <w:numId w:val="86"/>
        </w:numPr>
      </w:pPr>
      <w:r w:rsidRPr="00B8400C">
        <w:t xml:space="preserve">Support early and continuous screening so that infants and children with high-risk health conditions can be identified early. </w:t>
      </w:r>
    </w:p>
    <w:p w:rsidR="001A28E9" w:rsidRPr="001A28E9" w:rsidRDefault="001A28E9" w:rsidP="00B8400C">
      <w:r w:rsidRPr="001A28E9">
        <w:lastRenderedPageBreak/>
        <w:t xml:space="preserve">Since January of 2008, Montana has screened </w:t>
      </w:r>
      <w:r w:rsidRPr="00B8400C">
        <w:rPr>
          <w:rStyle w:val="Strong"/>
        </w:rPr>
        <w:t>all</w:t>
      </w:r>
      <w:r w:rsidRPr="001A28E9">
        <w:rPr>
          <w:b/>
        </w:rPr>
        <w:t xml:space="preserve"> </w:t>
      </w:r>
      <w:r w:rsidRPr="001A28E9">
        <w:t xml:space="preserve">newborns via: </w:t>
      </w:r>
    </w:p>
    <w:p w:rsidR="001A28E9" w:rsidRPr="001A28E9" w:rsidRDefault="001A28E9" w:rsidP="00F9158C">
      <w:pPr>
        <w:pStyle w:val="ListParagraph"/>
        <w:numPr>
          <w:ilvl w:val="0"/>
          <w:numId w:val="35"/>
        </w:numPr>
      </w:pPr>
      <w:r w:rsidRPr="001A28E9">
        <w:t xml:space="preserve">A </w:t>
      </w:r>
      <w:r w:rsidRPr="00B8400C">
        <w:rPr>
          <w:rStyle w:val="Strong"/>
        </w:rPr>
        <w:t>metabolic screen (bloodspot test)</w:t>
      </w:r>
      <w:r w:rsidRPr="00B8400C">
        <w:rPr>
          <w:rFonts w:eastAsiaTheme="majorEastAsia"/>
        </w:rPr>
        <w:t xml:space="preserve"> </w:t>
      </w:r>
      <w:r w:rsidRPr="001A28E9">
        <w:t xml:space="preserve">for 28 conditions as recommended by the American Academy of Pediatrics and the American College of Medical Genetics. (Approximately 12,500 babies were born in Montana in 2008. Seventeen babies or </w:t>
      </w:r>
      <w:r w:rsidRPr="00B8400C">
        <w:rPr>
          <w:rStyle w:val="Strong"/>
        </w:rPr>
        <w:t xml:space="preserve">1 in 735 </w:t>
      </w:r>
      <w:r w:rsidRPr="001A28E9">
        <w:t xml:space="preserve">were treated for a condition detected by the newborn bloodspot screen. </w:t>
      </w:r>
    </w:p>
    <w:p w:rsidR="001A28E9" w:rsidRPr="0016664F" w:rsidRDefault="001A28E9" w:rsidP="00F9158C">
      <w:pPr>
        <w:pStyle w:val="ListParagraph"/>
        <w:numPr>
          <w:ilvl w:val="0"/>
          <w:numId w:val="35"/>
        </w:numPr>
        <w:rPr>
          <w:rFonts w:eastAsia="Times New Roman"/>
          <w:color w:val="2A2A2A"/>
        </w:rPr>
      </w:pPr>
      <w:r w:rsidRPr="001A28E9">
        <w:t xml:space="preserve">A </w:t>
      </w:r>
      <w:r w:rsidRPr="00B8400C">
        <w:rPr>
          <w:rStyle w:val="Strong"/>
        </w:rPr>
        <w:t>hearing screen</w:t>
      </w:r>
      <w:r w:rsidRPr="00B8400C">
        <w:rPr>
          <w:b/>
        </w:rPr>
        <w:t xml:space="preserve"> </w:t>
      </w:r>
      <w:r w:rsidRPr="001A28E9">
        <w:t>to detect hearing loss. If the newborn does not pass the first hearing screen, another screen is performed. If the second screen is not passed, the screening facility informs the parent and the baby's primary care provider that an audiology assessment is recommended before the baby is three months of age. Because the early months of life are important to the development of language, it is critical that an infant with a hearing loss be diagnosed before four months of age so that appropriate intervention can be provided before six months of age.</w:t>
      </w:r>
      <w:r w:rsidRPr="001A28E9">
        <w:rPr>
          <w:rStyle w:val="FootnoteReference"/>
          <w:rFonts w:cs="Arial"/>
          <w:szCs w:val="22"/>
        </w:rPr>
        <w:footnoteReference w:id="28"/>
      </w:r>
      <w:r w:rsidRPr="001A28E9">
        <w:t xml:space="preserve"> In 2009, 95.8% of 11,697 babies born in Montana received hearing screenings.  The prevalence rate for babies diagnosed with hearing loss was </w:t>
      </w:r>
      <w:r w:rsidRPr="00B8400C">
        <w:rPr>
          <w:rStyle w:val="Strong"/>
        </w:rPr>
        <w:t>2.14 per 1000</w:t>
      </w:r>
      <w:r w:rsidRPr="001A28E9">
        <w:t xml:space="preserve"> births. Of those babies, 84% were referred to / enrolled in Early Intervention Services.</w:t>
      </w:r>
    </w:p>
    <w:p w:rsidR="005B2189" w:rsidRPr="0016664F" w:rsidRDefault="001A28E9" w:rsidP="0016664F">
      <w:pPr>
        <w:rPr>
          <w:rFonts w:cs="Arial"/>
        </w:rPr>
      </w:pPr>
      <w:r w:rsidRPr="005B2189">
        <w:rPr>
          <w:rFonts w:cs="Arial"/>
        </w:rPr>
        <w:t>Children with Special Health Care Needs (CSHCN) are defined by the U.S. Department of Health and Human Services, Maternal and Child Health Bureau as: “… those who have or are at increased risk for a chronic physical, developmental, behavioral, or emotional condition and who also require health and related services of a type or amount beyond that required by children generally.”</w:t>
      </w:r>
      <w:r w:rsidRPr="005B2189">
        <w:rPr>
          <w:rStyle w:val="FootnoteReference"/>
          <w:rFonts w:cs="Arial"/>
        </w:rPr>
        <w:footnoteReference w:id="29"/>
      </w:r>
      <w:r w:rsidRPr="005B2189">
        <w:rPr>
          <w:rFonts w:cs="Arial"/>
        </w:rPr>
        <w:t xml:space="preserve"> </w:t>
      </w:r>
    </w:p>
    <w:p w:rsidR="00D01A15" w:rsidRDefault="001A28E9" w:rsidP="00B8400C">
      <w:pPr>
        <w:rPr>
          <w:rFonts w:eastAsia="Times New Roman"/>
        </w:rPr>
      </w:pPr>
      <w:r w:rsidRPr="005B2189">
        <w:rPr>
          <w:rFonts w:eastAsia="Times New Roman"/>
        </w:rPr>
        <w:t xml:space="preserve">“This definition of CSHCN is broad and inclusive, and it emphasizes the characteristics held in common by children with a wide range of diagnoses. </w:t>
      </w:r>
    </w:p>
    <w:p w:rsidR="001A28E9" w:rsidRPr="005B2189" w:rsidRDefault="001A28E9" w:rsidP="00B8400C">
      <w:pPr>
        <w:rPr>
          <w:rFonts w:eastAsia="Times New Roman"/>
        </w:rPr>
      </w:pPr>
      <w:r w:rsidRPr="005B2189">
        <w:rPr>
          <w:rFonts w:eastAsia="Times New Roman"/>
        </w:rPr>
        <w:t>The National Survey of Children with Special Health Care Needs (NS-CSHCN), designed and sponsored by the Maternal and Child Health Bureau and carried out by the National Center for Health Statistics, provides detailed information on the prevalence of CSHCN in the nation and in each state, the demographic characteristics of these children, the types of health and support services that they and their families need, and their access to and satisfaction with the care that they receive.”</w:t>
      </w:r>
      <w:r w:rsidRPr="005B2189">
        <w:rPr>
          <w:rStyle w:val="FootnoteReference"/>
          <w:rFonts w:cs="Arial"/>
          <w:color w:val="242424"/>
        </w:rPr>
        <w:footnoteReference w:id="30"/>
      </w:r>
      <w:r w:rsidRPr="005B2189">
        <w:rPr>
          <w:rFonts w:eastAsia="Times New Roman"/>
        </w:rPr>
        <w:t xml:space="preserve"> </w:t>
      </w:r>
    </w:p>
    <w:p w:rsidR="001A28E9" w:rsidRPr="005B2189" w:rsidRDefault="001A28E9" w:rsidP="00945259">
      <w:pPr>
        <w:autoSpaceDE w:val="0"/>
        <w:autoSpaceDN w:val="0"/>
        <w:adjustRightInd w:val="0"/>
        <w:spacing w:after="120"/>
        <w:rPr>
          <w:rFonts w:cs="Arial"/>
        </w:rPr>
      </w:pPr>
      <w:r w:rsidRPr="00B8400C">
        <w:t xml:space="preserve">The National Survey of Children with Special Health Care Needs is a telephone survey that has been conducted three times—the first survey was conducted in 2001/02; the second in 2005/06; and the third in 2009/10.  The survey is conducted in all 50 states and the District of Columbia by calling telephone numbers that are randomly generated to find households with one or more children under the age of 18. Trained interviewers ask parents or guardians a series of questions pertaining to all children in the household in order to identify children with special </w:t>
      </w:r>
      <w:r w:rsidRPr="00B8400C">
        <w:lastRenderedPageBreak/>
        <w:t>health care needs.  A minimum of 750 interviews are conducted in each state and the District of Columbia.</w:t>
      </w:r>
      <w:r w:rsidRPr="005B2189">
        <w:rPr>
          <w:rStyle w:val="FootnoteReference"/>
          <w:rFonts w:cs="Arial"/>
        </w:rPr>
        <w:footnoteReference w:id="31"/>
      </w:r>
      <w:r w:rsidRPr="005B2189">
        <w:rPr>
          <w:rFonts w:cs="Arial"/>
        </w:rPr>
        <w:t xml:space="preserve"> </w:t>
      </w:r>
    </w:p>
    <w:p w:rsidR="00EA395B" w:rsidRDefault="00EA395B" w:rsidP="00EA395B">
      <w:pPr>
        <w:pStyle w:val="Heading2"/>
      </w:pPr>
      <w:bookmarkStart w:id="24" w:name="_Toc403370679"/>
      <w:r>
        <w:t>Estimated Number of CSHCN in Montana</w:t>
      </w:r>
      <w:bookmarkEnd w:id="24"/>
      <w:r w:rsidR="00B66BC2" w:rsidRPr="00BE4A5D">
        <w:rPr>
          <w:rStyle w:val="FootnoteReference"/>
          <w:rFonts w:cs="Arial"/>
          <w:b w:val="0"/>
          <w:sz w:val="26"/>
        </w:rPr>
        <w:footnoteReference w:id="32"/>
      </w:r>
    </w:p>
    <w:p w:rsidR="00EA395B" w:rsidRDefault="00EA395B" w:rsidP="00EA395B">
      <w:pPr>
        <w:pStyle w:val="ListParagraph"/>
        <w:numPr>
          <w:ilvl w:val="0"/>
          <w:numId w:val="102"/>
        </w:numPr>
        <w:spacing w:after="200"/>
        <w:outlineLvl w:val="9"/>
      </w:pPr>
      <w:r>
        <w:t xml:space="preserve">Estimated Number of CSHCN in 2007: </w:t>
      </w:r>
      <w:r w:rsidRPr="00526D5B">
        <w:rPr>
          <w:b/>
        </w:rPr>
        <w:t>40,975</w:t>
      </w:r>
    </w:p>
    <w:p w:rsidR="00EA395B" w:rsidRDefault="00EA395B" w:rsidP="00EA395B">
      <w:pPr>
        <w:pStyle w:val="ListParagraph"/>
        <w:numPr>
          <w:ilvl w:val="0"/>
          <w:numId w:val="102"/>
        </w:numPr>
        <w:spacing w:after="200"/>
        <w:outlineLvl w:val="9"/>
      </w:pPr>
      <w:r>
        <w:t xml:space="preserve">Estimated Number of CSHCN in 2014: </w:t>
      </w:r>
    </w:p>
    <w:p w:rsidR="00EA395B" w:rsidRDefault="00EA395B" w:rsidP="00EA395B">
      <w:pPr>
        <w:pStyle w:val="ListParagraph"/>
        <w:numPr>
          <w:ilvl w:val="0"/>
          <w:numId w:val="102"/>
        </w:numPr>
        <w:spacing w:after="200"/>
        <w:outlineLvl w:val="9"/>
      </w:pPr>
      <w:r>
        <w:t xml:space="preserve">Estimated Number of non-CSHCN in 2007: </w:t>
      </w:r>
      <w:r w:rsidRPr="00526D5B">
        <w:rPr>
          <w:b/>
        </w:rPr>
        <w:t>186,99</w:t>
      </w:r>
      <w:r>
        <w:t>1</w:t>
      </w:r>
    </w:p>
    <w:p w:rsidR="00EA395B" w:rsidRDefault="00EA395B" w:rsidP="00EA395B">
      <w:pPr>
        <w:pStyle w:val="ListParagraph"/>
        <w:numPr>
          <w:ilvl w:val="0"/>
          <w:numId w:val="102"/>
        </w:numPr>
        <w:spacing w:after="200"/>
        <w:outlineLvl w:val="9"/>
      </w:pPr>
      <w:r>
        <w:t>Estimated Number of non-CSHCN in 2007:</w:t>
      </w:r>
    </w:p>
    <w:p w:rsidR="00EA395B" w:rsidRDefault="00EA395B" w:rsidP="00EA395B">
      <w:pPr>
        <w:ind w:left="360"/>
      </w:pPr>
      <w:r>
        <w:t xml:space="preserve"> </w:t>
      </w:r>
    </w:p>
    <w:tbl>
      <w:tblPr>
        <w:tblStyle w:val="TableGrid"/>
        <w:tblW w:w="0" w:type="auto"/>
        <w:tblCellMar>
          <w:top w:w="29" w:type="dxa"/>
          <w:left w:w="115" w:type="dxa"/>
          <w:bottom w:w="29" w:type="dxa"/>
          <w:right w:w="115" w:type="dxa"/>
        </w:tblCellMar>
        <w:tblLook w:val="0620" w:firstRow="1" w:lastRow="0" w:firstColumn="0" w:lastColumn="0" w:noHBand="1" w:noVBand="1"/>
        <w:tblCaption w:val="Table: Estimated Number of CSHCN in Montana and US"/>
        <w:tblDescription w:val="Montana and US statistics for: Child Population, Percentage of Children by Race/Ethnicity, Household, Urban/Rural, Special Health Care Needs,&#10;Percentage of children with reported special health care needs, by age group, Low birth weight, and Special Education"/>
      </w:tblPr>
      <w:tblGrid>
        <w:gridCol w:w="6948"/>
        <w:gridCol w:w="1350"/>
        <w:gridCol w:w="1278"/>
      </w:tblGrid>
      <w:tr w:rsidR="00EA395B" w:rsidTr="00EA395B">
        <w:trPr>
          <w:tblHeader/>
        </w:trPr>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F4177F" w:rsidRDefault="00EA395B" w:rsidP="00BB0D96">
            <w:pPr>
              <w:rPr>
                <w:b/>
                <w:sz w:val="28"/>
                <w:szCs w:val="28"/>
              </w:rPr>
            </w:pPr>
            <w:r>
              <w:rPr>
                <w:b/>
                <w:sz w:val="28"/>
                <w:szCs w:val="28"/>
              </w:rPr>
              <w:t>Table: Esti</w:t>
            </w:r>
            <w:r w:rsidRPr="00F4177F">
              <w:rPr>
                <w:b/>
                <w:sz w:val="28"/>
                <w:szCs w:val="28"/>
              </w:rPr>
              <w:t>mated Number of CSHCN in Montana and US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97081C" w:rsidRDefault="00EA395B" w:rsidP="00BB0D96">
            <w:pPr>
              <w:rPr>
                <w:b/>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97081C" w:rsidRDefault="00EA395B" w:rsidP="00BB0D96">
            <w:pPr>
              <w:rPr>
                <w:b/>
              </w:rPr>
            </w:pPr>
          </w:p>
        </w:tc>
      </w:tr>
      <w:tr w:rsidR="00EA395B" w:rsidTr="00EA395B">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D96EAA" w:rsidRDefault="00EA395B" w:rsidP="00BB0D96">
            <w:pPr>
              <w:rPr>
                <w:b/>
              </w:rPr>
            </w:pPr>
            <w:r w:rsidRPr="00D96EAA">
              <w:rPr>
                <w:b/>
              </w:rPr>
              <w:t>Child Population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Montana</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US</w:t>
            </w:r>
          </w:p>
        </w:tc>
      </w:tr>
      <w:tr w:rsidR="00EA395B" w:rsidTr="00EA395B">
        <w:tc>
          <w:tcPr>
            <w:tcW w:w="6948" w:type="dxa"/>
            <w:tcBorders>
              <w:top w:val="single" w:sz="4" w:space="0" w:color="000000" w:themeColor="text1"/>
            </w:tcBorders>
          </w:tcPr>
          <w:p w:rsidR="00EA395B" w:rsidRPr="0097081C" w:rsidRDefault="00EA395B" w:rsidP="00BB0D96">
            <w:pPr>
              <w:rPr>
                <w:b/>
              </w:rPr>
            </w:pPr>
            <w:r w:rsidRPr="0097081C">
              <w:rPr>
                <w:b/>
              </w:rPr>
              <w:t>Number of Children</w:t>
            </w:r>
          </w:p>
        </w:tc>
        <w:tc>
          <w:tcPr>
            <w:tcW w:w="1350" w:type="dxa"/>
            <w:tcBorders>
              <w:top w:val="single" w:sz="4" w:space="0" w:color="000000" w:themeColor="text1"/>
            </w:tcBorders>
          </w:tcPr>
          <w:p w:rsidR="00EA395B" w:rsidRDefault="00EA395B" w:rsidP="00BB0D96">
            <w:r w:rsidRPr="00F6227A">
              <w:rPr>
                <w:rFonts w:eastAsia="Times New Roman" w:cs="Arial"/>
                <w:b/>
                <w:color w:val="000000"/>
              </w:rPr>
              <w:t>231,600</w:t>
            </w:r>
          </w:p>
        </w:tc>
        <w:tc>
          <w:tcPr>
            <w:tcW w:w="1278" w:type="dxa"/>
            <w:tcBorders>
              <w:top w:val="single" w:sz="4" w:space="0" w:color="000000" w:themeColor="text1"/>
            </w:tcBorders>
          </w:tcPr>
          <w:p w:rsidR="00EA395B" w:rsidRDefault="00EA395B" w:rsidP="00BB0D96">
            <w:r w:rsidRPr="00F6227A">
              <w:rPr>
                <w:rFonts w:eastAsia="Times New Roman" w:cs="Arial"/>
                <w:b/>
                <w:color w:val="000000"/>
                <w:sz w:val="20"/>
                <w:szCs w:val="20"/>
              </w:rPr>
              <w:t>78,170,600</w:t>
            </w:r>
          </w:p>
        </w:tc>
      </w:tr>
      <w:tr w:rsidR="00EA395B" w:rsidTr="00EA395B">
        <w:tc>
          <w:tcPr>
            <w:tcW w:w="6948" w:type="dxa"/>
          </w:tcPr>
          <w:p w:rsidR="00EA395B" w:rsidRDefault="00EA395B" w:rsidP="00BB0D96">
            <w:r w:rsidRPr="00F6227A">
              <w:rPr>
                <w:rFonts w:eastAsia="Times New Roman" w:cs="Arial"/>
                <w:b/>
                <w:color w:val="000000"/>
              </w:rPr>
              <w:t>Children as a percentage of the total population</w:t>
            </w:r>
          </w:p>
        </w:tc>
        <w:tc>
          <w:tcPr>
            <w:tcW w:w="1350" w:type="dxa"/>
          </w:tcPr>
          <w:p w:rsidR="00EA395B" w:rsidRDefault="00EA395B" w:rsidP="00BB0D96">
            <w:r w:rsidRPr="00F6227A">
              <w:rPr>
                <w:rFonts w:eastAsia="Times New Roman" w:cs="Arial"/>
                <w:b/>
                <w:color w:val="000000"/>
              </w:rPr>
              <w:t>23%</w:t>
            </w:r>
          </w:p>
        </w:tc>
        <w:tc>
          <w:tcPr>
            <w:tcW w:w="1278" w:type="dxa"/>
          </w:tcPr>
          <w:p w:rsidR="00EA395B" w:rsidRDefault="00EA395B" w:rsidP="00BB0D96">
            <w:r w:rsidRPr="00F6227A">
              <w:rPr>
                <w:rFonts w:eastAsia="Times New Roman" w:cs="Arial"/>
                <w:b/>
                <w:color w:val="000000"/>
              </w:rPr>
              <w:t>25%</w:t>
            </w:r>
          </w:p>
        </w:tc>
      </w:tr>
      <w:tr w:rsidR="00EA395B" w:rsidTr="00EA395B">
        <w:tc>
          <w:tcPr>
            <w:tcW w:w="6948" w:type="dxa"/>
          </w:tcPr>
          <w:p w:rsidR="00EA395B" w:rsidRPr="00D96EAA" w:rsidRDefault="00EA395B" w:rsidP="00BB0D96">
            <w:pPr>
              <w:rPr>
                <w:rFonts w:eastAsia="Times New Roman" w:cs="Arial"/>
                <w:color w:val="000000"/>
                <w:sz w:val="18"/>
                <w:szCs w:val="18"/>
              </w:rPr>
            </w:pPr>
            <w:r w:rsidRPr="00A44AB0">
              <w:rPr>
                <w:rFonts w:eastAsia="Times New Roman" w:cs="Arial"/>
                <w:color w:val="000000"/>
                <w:sz w:val="18"/>
                <w:szCs w:val="18"/>
              </w:rPr>
              <w:t>Source</w:t>
            </w:r>
            <w:r w:rsidRPr="003E4575">
              <w:rPr>
                <w:rFonts w:eastAsia="Times New Roman" w:cs="Arial"/>
                <w:color w:val="000000"/>
                <w:sz w:val="18"/>
                <w:szCs w:val="18"/>
              </w:rPr>
              <w:t>: Kaiser Family Foundation (2012)</w:t>
            </w:r>
          </w:p>
        </w:tc>
        <w:tc>
          <w:tcPr>
            <w:tcW w:w="1350" w:type="dxa"/>
          </w:tcPr>
          <w:p w:rsidR="00EA395B" w:rsidRPr="00F6227A" w:rsidRDefault="00EA395B" w:rsidP="00BB0D96">
            <w:pPr>
              <w:rPr>
                <w:rFonts w:eastAsia="Times New Roman" w:cs="Arial"/>
                <w:b/>
                <w:color w:val="000000"/>
              </w:rPr>
            </w:pPr>
          </w:p>
        </w:tc>
        <w:tc>
          <w:tcPr>
            <w:tcW w:w="1278" w:type="dxa"/>
          </w:tcPr>
          <w:p w:rsidR="00EA395B" w:rsidRPr="00F6227A" w:rsidRDefault="00EA395B" w:rsidP="00BB0D96">
            <w:pPr>
              <w:rPr>
                <w:rFonts w:eastAsia="Times New Roman" w:cs="Arial"/>
                <w:b/>
                <w:color w:val="000000"/>
              </w:rPr>
            </w:pPr>
          </w:p>
        </w:tc>
      </w:tr>
      <w:tr w:rsidR="00EA395B" w:rsidTr="00EA395B">
        <w:tc>
          <w:tcPr>
            <w:tcW w:w="6948" w:type="dxa"/>
            <w:shd w:val="clear" w:color="auto" w:fill="BFBFBF" w:themeFill="background1" w:themeFillShade="BF"/>
          </w:tcPr>
          <w:p w:rsidR="00EA395B" w:rsidRPr="00D96EAA" w:rsidRDefault="00EA395B" w:rsidP="00BB0D96">
            <w:pPr>
              <w:rPr>
                <w:b/>
              </w:rPr>
            </w:pPr>
            <w:r w:rsidRPr="00D96EAA">
              <w:rPr>
                <w:b/>
              </w:rPr>
              <w:t>Percentage of Children by Race/Ethnicity</w:t>
            </w:r>
          </w:p>
        </w:tc>
        <w:tc>
          <w:tcPr>
            <w:tcW w:w="1350" w:type="dxa"/>
            <w:shd w:val="clear" w:color="auto" w:fill="BFBFBF" w:themeFill="background1" w:themeFillShade="BF"/>
          </w:tcPr>
          <w:p w:rsidR="00EA395B" w:rsidRPr="0097081C" w:rsidRDefault="00EA395B" w:rsidP="00BB0D96">
            <w:pPr>
              <w:rPr>
                <w:b/>
              </w:rPr>
            </w:pPr>
            <w:r w:rsidRPr="0097081C">
              <w:rPr>
                <w:b/>
              </w:rPr>
              <w:t>Montana</w:t>
            </w:r>
          </w:p>
        </w:tc>
        <w:tc>
          <w:tcPr>
            <w:tcW w:w="1278" w:type="dxa"/>
            <w:shd w:val="clear" w:color="auto" w:fill="BFBFBF" w:themeFill="background1" w:themeFillShade="BF"/>
          </w:tcPr>
          <w:p w:rsidR="00EA395B" w:rsidRPr="0097081C" w:rsidRDefault="00EA395B" w:rsidP="00BB0D96">
            <w:pPr>
              <w:rPr>
                <w:b/>
              </w:rPr>
            </w:pPr>
            <w:r w:rsidRPr="0097081C">
              <w:rPr>
                <w:b/>
              </w:rPr>
              <w:t>US</w:t>
            </w:r>
          </w:p>
        </w:tc>
      </w:tr>
      <w:tr w:rsidR="00EA395B" w:rsidTr="00EA395B">
        <w:tc>
          <w:tcPr>
            <w:tcW w:w="6948" w:type="dxa"/>
          </w:tcPr>
          <w:p w:rsidR="00EA395B" w:rsidRPr="0097081C" w:rsidRDefault="00EA395B" w:rsidP="00BB0D96">
            <w:pPr>
              <w:rPr>
                <w:b/>
              </w:rPr>
            </w:pPr>
            <w:r>
              <w:rPr>
                <w:b/>
              </w:rPr>
              <w:t>White alone</w:t>
            </w:r>
          </w:p>
        </w:tc>
        <w:tc>
          <w:tcPr>
            <w:tcW w:w="1350" w:type="dxa"/>
          </w:tcPr>
          <w:p w:rsidR="00EA395B" w:rsidRDefault="00EA395B" w:rsidP="00BB0D96">
            <w:r>
              <w:rPr>
                <w:rFonts w:eastAsia="Times New Roman" w:cs="Arial"/>
                <w:b/>
                <w:color w:val="000000"/>
              </w:rPr>
              <w:t>80.3%</w:t>
            </w:r>
          </w:p>
        </w:tc>
        <w:tc>
          <w:tcPr>
            <w:tcW w:w="1278" w:type="dxa"/>
          </w:tcPr>
          <w:p w:rsidR="00EA395B" w:rsidRDefault="00EA395B" w:rsidP="00BB0D96">
            <w:r>
              <w:rPr>
                <w:rFonts w:eastAsia="Times New Roman" w:cs="Arial"/>
                <w:b/>
                <w:color w:val="000000"/>
                <w:sz w:val="20"/>
                <w:szCs w:val="20"/>
              </w:rPr>
              <w:t>53.5%</w:t>
            </w:r>
          </w:p>
        </w:tc>
      </w:tr>
      <w:tr w:rsidR="00EA395B" w:rsidTr="00EA395B">
        <w:tc>
          <w:tcPr>
            <w:tcW w:w="6948" w:type="dxa"/>
          </w:tcPr>
          <w:p w:rsidR="00EA395B" w:rsidRDefault="00EA395B" w:rsidP="00BB0D96">
            <w:r>
              <w:rPr>
                <w:rFonts w:eastAsia="Times New Roman" w:cs="Arial"/>
                <w:b/>
                <w:color w:val="000000"/>
              </w:rPr>
              <w:t>Black/African American alone</w:t>
            </w:r>
          </w:p>
        </w:tc>
        <w:tc>
          <w:tcPr>
            <w:tcW w:w="1350" w:type="dxa"/>
          </w:tcPr>
          <w:p w:rsidR="00EA395B" w:rsidRDefault="00EA395B" w:rsidP="00BB0D96">
            <w:r>
              <w:rPr>
                <w:rFonts w:eastAsia="Times New Roman" w:cs="Arial"/>
                <w:b/>
                <w:color w:val="000000"/>
              </w:rPr>
              <w:t>0.5</w:t>
            </w:r>
            <w:r w:rsidRPr="00F6227A">
              <w:rPr>
                <w:rFonts w:eastAsia="Times New Roman" w:cs="Arial"/>
                <w:b/>
                <w:color w:val="000000"/>
              </w:rPr>
              <w:t>%</w:t>
            </w:r>
          </w:p>
        </w:tc>
        <w:tc>
          <w:tcPr>
            <w:tcW w:w="1278" w:type="dxa"/>
          </w:tcPr>
          <w:p w:rsidR="00EA395B" w:rsidRDefault="00EA395B" w:rsidP="00BB0D96">
            <w:r>
              <w:rPr>
                <w:rFonts w:eastAsia="Times New Roman" w:cs="Arial"/>
                <w:b/>
                <w:color w:val="000000"/>
              </w:rPr>
              <w:t>14.0</w:t>
            </w:r>
            <w:r w:rsidRPr="00F6227A">
              <w:rPr>
                <w:rFonts w:eastAsia="Times New Roman" w:cs="Arial"/>
                <w:b/>
                <w:color w:val="000000"/>
              </w:rPr>
              <w:t>%</w:t>
            </w:r>
          </w:p>
        </w:tc>
      </w:tr>
      <w:tr w:rsidR="00EA395B" w:rsidTr="00EA395B">
        <w:tc>
          <w:tcPr>
            <w:tcW w:w="6948" w:type="dxa"/>
          </w:tcPr>
          <w:p w:rsidR="00EA395B" w:rsidRDefault="00EA395B" w:rsidP="00BB0D96">
            <w:pPr>
              <w:rPr>
                <w:rFonts w:eastAsia="Times New Roman" w:cs="Arial"/>
                <w:b/>
                <w:color w:val="000000"/>
              </w:rPr>
            </w:pPr>
            <w:r w:rsidRPr="00F6227A">
              <w:rPr>
                <w:rFonts w:eastAsia="Times New Roman" w:cs="Arial"/>
                <w:b/>
                <w:color w:val="000000"/>
                <w:sz w:val="20"/>
                <w:szCs w:val="20"/>
              </w:rPr>
              <w:t>Hispanic/Latino alone</w:t>
            </w:r>
          </w:p>
        </w:tc>
        <w:tc>
          <w:tcPr>
            <w:tcW w:w="1350" w:type="dxa"/>
          </w:tcPr>
          <w:p w:rsidR="00EA395B" w:rsidRDefault="00EA395B" w:rsidP="00BB0D96">
            <w:pPr>
              <w:rPr>
                <w:rFonts w:eastAsia="Times New Roman" w:cs="Arial"/>
                <w:b/>
                <w:color w:val="000000"/>
              </w:rPr>
            </w:pPr>
            <w:r w:rsidRPr="00F6227A">
              <w:rPr>
                <w:rFonts w:eastAsia="Times New Roman" w:cs="Arial"/>
                <w:b/>
                <w:color w:val="000000"/>
                <w:sz w:val="20"/>
                <w:szCs w:val="20"/>
              </w:rPr>
              <w:t>5.0%</w:t>
            </w:r>
          </w:p>
        </w:tc>
        <w:tc>
          <w:tcPr>
            <w:tcW w:w="1278" w:type="dxa"/>
          </w:tcPr>
          <w:p w:rsidR="00EA395B" w:rsidRDefault="00EA395B" w:rsidP="00BB0D96">
            <w:pPr>
              <w:rPr>
                <w:rFonts w:eastAsia="Times New Roman" w:cs="Arial"/>
                <w:b/>
                <w:color w:val="000000"/>
              </w:rPr>
            </w:pPr>
            <w:r w:rsidRPr="00F6227A">
              <w:rPr>
                <w:rFonts w:eastAsia="Times New Roman" w:cs="Arial"/>
                <w:b/>
                <w:color w:val="000000"/>
                <w:sz w:val="20"/>
                <w:szCs w:val="20"/>
              </w:rPr>
              <w:t>26.9%</w:t>
            </w:r>
          </w:p>
        </w:tc>
      </w:tr>
      <w:tr w:rsidR="00EA395B" w:rsidTr="00EA395B">
        <w:tc>
          <w:tcPr>
            <w:tcW w:w="6948" w:type="dxa"/>
          </w:tcPr>
          <w:p w:rsidR="00EA395B" w:rsidRDefault="00EA395B" w:rsidP="00BB0D96">
            <w:pPr>
              <w:rPr>
                <w:rFonts w:eastAsia="Times New Roman" w:cs="Arial"/>
                <w:b/>
                <w:color w:val="000000"/>
              </w:rPr>
            </w:pPr>
            <w:r w:rsidRPr="00F6227A">
              <w:rPr>
                <w:rFonts w:eastAsia="Times New Roman" w:cs="Arial"/>
                <w:b/>
                <w:color w:val="000000"/>
                <w:sz w:val="20"/>
                <w:szCs w:val="20"/>
              </w:rPr>
              <w:t>American Indian/Alaska Native alone</w:t>
            </w:r>
          </w:p>
        </w:tc>
        <w:tc>
          <w:tcPr>
            <w:tcW w:w="1350" w:type="dxa"/>
          </w:tcPr>
          <w:p w:rsidR="00EA395B" w:rsidRDefault="00EA395B" w:rsidP="00BB0D96">
            <w:pPr>
              <w:rPr>
                <w:rFonts w:eastAsia="Times New Roman" w:cs="Arial"/>
                <w:b/>
                <w:color w:val="000000"/>
              </w:rPr>
            </w:pPr>
            <w:r w:rsidRPr="00F6227A">
              <w:rPr>
                <w:rFonts w:eastAsia="Times New Roman" w:cs="Arial"/>
                <w:b/>
                <w:color w:val="000000"/>
                <w:sz w:val="20"/>
                <w:szCs w:val="20"/>
              </w:rPr>
              <w:t>9.4%</w:t>
            </w:r>
          </w:p>
        </w:tc>
        <w:tc>
          <w:tcPr>
            <w:tcW w:w="1278" w:type="dxa"/>
          </w:tcPr>
          <w:p w:rsidR="00EA395B" w:rsidRDefault="00EA395B" w:rsidP="00BB0D96">
            <w:pPr>
              <w:rPr>
                <w:rFonts w:eastAsia="Times New Roman" w:cs="Arial"/>
                <w:b/>
                <w:color w:val="000000"/>
              </w:rPr>
            </w:pPr>
            <w:r w:rsidRPr="00F6227A">
              <w:rPr>
                <w:rFonts w:eastAsia="Times New Roman" w:cs="Arial"/>
                <w:b/>
                <w:color w:val="000000"/>
                <w:sz w:val="20"/>
                <w:szCs w:val="20"/>
              </w:rPr>
              <w:t>0.9%</w:t>
            </w:r>
          </w:p>
        </w:tc>
      </w:tr>
      <w:tr w:rsidR="00EA395B" w:rsidTr="00EA395B">
        <w:tc>
          <w:tcPr>
            <w:tcW w:w="6948" w:type="dxa"/>
          </w:tcPr>
          <w:p w:rsidR="00EA395B" w:rsidRDefault="00EA395B" w:rsidP="00BB0D96">
            <w:pPr>
              <w:rPr>
                <w:rFonts w:eastAsia="Times New Roman" w:cs="Arial"/>
                <w:b/>
                <w:color w:val="000000"/>
              </w:rPr>
            </w:pPr>
            <w:r w:rsidRPr="00F6227A">
              <w:rPr>
                <w:rFonts w:eastAsia="Times New Roman" w:cs="Arial"/>
                <w:b/>
                <w:color w:val="000000"/>
                <w:sz w:val="20"/>
                <w:szCs w:val="20"/>
              </w:rPr>
              <w:t>Asian alone</w:t>
            </w:r>
          </w:p>
        </w:tc>
        <w:tc>
          <w:tcPr>
            <w:tcW w:w="1350" w:type="dxa"/>
          </w:tcPr>
          <w:p w:rsidR="00EA395B" w:rsidRDefault="00EA395B" w:rsidP="00BB0D96">
            <w:pPr>
              <w:rPr>
                <w:rFonts w:eastAsia="Times New Roman" w:cs="Arial"/>
                <w:b/>
                <w:color w:val="000000"/>
              </w:rPr>
            </w:pPr>
            <w:r w:rsidRPr="00F6227A">
              <w:rPr>
                <w:rFonts w:eastAsia="Times New Roman" w:cs="Arial"/>
                <w:b/>
                <w:color w:val="000000"/>
                <w:sz w:val="20"/>
                <w:szCs w:val="20"/>
              </w:rPr>
              <w:t>0.6%</w:t>
            </w:r>
          </w:p>
        </w:tc>
        <w:tc>
          <w:tcPr>
            <w:tcW w:w="1278" w:type="dxa"/>
          </w:tcPr>
          <w:p w:rsidR="00EA395B" w:rsidRDefault="00EA395B" w:rsidP="00BB0D96">
            <w:pPr>
              <w:rPr>
                <w:rFonts w:eastAsia="Times New Roman" w:cs="Arial"/>
                <w:b/>
                <w:color w:val="000000"/>
              </w:rPr>
            </w:pPr>
            <w:r w:rsidRPr="00F6227A">
              <w:rPr>
                <w:rFonts w:eastAsia="Times New Roman" w:cs="Arial"/>
                <w:b/>
                <w:color w:val="000000"/>
                <w:sz w:val="20"/>
                <w:szCs w:val="20"/>
              </w:rPr>
              <w:t>4.3%</w:t>
            </w:r>
          </w:p>
        </w:tc>
      </w:tr>
      <w:tr w:rsidR="00EA395B" w:rsidTr="00EA395B">
        <w:tc>
          <w:tcPr>
            <w:tcW w:w="6948" w:type="dxa"/>
          </w:tcPr>
          <w:p w:rsidR="00EA395B" w:rsidRDefault="00EA395B" w:rsidP="00BB0D96">
            <w:pPr>
              <w:rPr>
                <w:rFonts w:eastAsia="Times New Roman" w:cs="Arial"/>
                <w:b/>
                <w:color w:val="000000"/>
              </w:rPr>
            </w:pPr>
            <w:r w:rsidRPr="00F6227A">
              <w:rPr>
                <w:rFonts w:eastAsia="Times New Roman" w:cs="Arial"/>
                <w:b/>
                <w:color w:val="000000"/>
                <w:sz w:val="20"/>
                <w:szCs w:val="20"/>
              </w:rPr>
              <w:t>Native Hawaiian/Other Pacific Islander alone</w:t>
            </w:r>
          </w:p>
        </w:tc>
        <w:tc>
          <w:tcPr>
            <w:tcW w:w="1350" w:type="dxa"/>
          </w:tcPr>
          <w:p w:rsidR="00EA395B" w:rsidRDefault="00EA395B" w:rsidP="00BB0D96">
            <w:pPr>
              <w:rPr>
                <w:rFonts w:eastAsia="Times New Roman" w:cs="Arial"/>
                <w:b/>
                <w:color w:val="000000"/>
              </w:rPr>
            </w:pPr>
            <w:r w:rsidRPr="00F6227A">
              <w:rPr>
                <w:rFonts w:eastAsia="Times New Roman" w:cs="Arial"/>
                <w:b/>
                <w:color w:val="000000"/>
                <w:sz w:val="20"/>
                <w:szCs w:val="20"/>
              </w:rPr>
              <w:t>0.1%</w:t>
            </w:r>
          </w:p>
        </w:tc>
        <w:tc>
          <w:tcPr>
            <w:tcW w:w="1278" w:type="dxa"/>
          </w:tcPr>
          <w:p w:rsidR="00EA395B" w:rsidRDefault="00EA395B" w:rsidP="00BB0D96">
            <w:pPr>
              <w:rPr>
                <w:rFonts w:eastAsia="Times New Roman" w:cs="Arial"/>
                <w:b/>
                <w:color w:val="000000"/>
              </w:rPr>
            </w:pPr>
            <w:r w:rsidRPr="00F6227A">
              <w:rPr>
                <w:rFonts w:eastAsia="Times New Roman" w:cs="Arial"/>
                <w:b/>
                <w:color w:val="000000"/>
                <w:sz w:val="20"/>
                <w:szCs w:val="20"/>
              </w:rPr>
              <w:t>0.</w:t>
            </w:r>
            <w:r>
              <w:rPr>
                <w:rFonts w:eastAsia="Times New Roman" w:cs="Arial"/>
                <w:b/>
                <w:color w:val="000000"/>
                <w:sz w:val="20"/>
                <w:szCs w:val="20"/>
              </w:rPr>
              <w:t>2</w:t>
            </w:r>
            <w:r w:rsidRPr="00F6227A">
              <w:rPr>
                <w:rFonts w:eastAsia="Times New Roman" w:cs="Arial"/>
                <w:b/>
                <w:color w:val="000000"/>
                <w:sz w:val="20"/>
                <w:szCs w:val="20"/>
              </w:rPr>
              <w:t>%</w:t>
            </w:r>
          </w:p>
        </w:tc>
      </w:tr>
      <w:tr w:rsidR="00EA395B" w:rsidTr="00EA395B">
        <w:tc>
          <w:tcPr>
            <w:tcW w:w="6948" w:type="dxa"/>
          </w:tcPr>
          <w:p w:rsidR="00EA395B" w:rsidRDefault="00EA395B" w:rsidP="00BB0D96">
            <w:pPr>
              <w:rPr>
                <w:rFonts w:eastAsia="Times New Roman" w:cs="Arial"/>
                <w:b/>
                <w:color w:val="000000"/>
              </w:rPr>
            </w:pPr>
            <w:r w:rsidRPr="00F6227A">
              <w:rPr>
                <w:rFonts w:eastAsia="Times New Roman" w:cs="Arial"/>
                <w:b/>
                <w:color w:val="000000"/>
                <w:sz w:val="20"/>
                <w:szCs w:val="20"/>
              </w:rPr>
              <w:t>Another race/ethnicity alone</w:t>
            </w:r>
          </w:p>
        </w:tc>
        <w:tc>
          <w:tcPr>
            <w:tcW w:w="1350" w:type="dxa"/>
          </w:tcPr>
          <w:p w:rsidR="00EA395B" w:rsidRDefault="00EA395B" w:rsidP="00BB0D96">
            <w:pPr>
              <w:rPr>
                <w:rFonts w:eastAsia="Times New Roman" w:cs="Arial"/>
                <w:b/>
                <w:color w:val="000000"/>
              </w:rPr>
            </w:pPr>
            <w:r w:rsidRPr="00F6227A">
              <w:rPr>
                <w:rFonts w:eastAsia="Times New Roman" w:cs="Arial"/>
                <w:b/>
                <w:color w:val="000000"/>
                <w:sz w:val="20"/>
                <w:szCs w:val="20"/>
              </w:rPr>
              <w:t>0.1%</w:t>
            </w:r>
          </w:p>
        </w:tc>
        <w:tc>
          <w:tcPr>
            <w:tcW w:w="1278" w:type="dxa"/>
          </w:tcPr>
          <w:p w:rsidR="00EA395B" w:rsidRDefault="00EA395B" w:rsidP="00BB0D96">
            <w:pPr>
              <w:rPr>
                <w:rFonts w:eastAsia="Times New Roman" w:cs="Arial"/>
                <w:b/>
                <w:color w:val="000000"/>
              </w:rPr>
            </w:pPr>
            <w:r w:rsidRPr="00F6227A">
              <w:rPr>
                <w:rFonts w:eastAsia="Times New Roman" w:cs="Arial"/>
                <w:b/>
                <w:color w:val="000000"/>
                <w:sz w:val="20"/>
                <w:szCs w:val="20"/>
              </w:rPr>
              <w:t>0.3%</w:t>
            </w:r>
          </w:p>
        </w:tc>
      </w:tr>
      <w:tr w:rsidR="00EA395B" w:rsidTr="00EA395B">
        <w:tc>
          <w:tcPr>
            <w:tcW w:w="694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2 or more races/ethnicities</w:t>
            </w:r>
          </w:p>
        </w:tc>
        <w:tc>
          <w:tcPr>
            <w:tcW w:w="1350" w:type="dxa"/>
          </w:tcPr>
          <w:p w:rsidR="00EA395B" w:rsidRDefault="00EA395B" w:rsidP="00BB0D96">
            <w:pPr>
              <w:rPr>
                <w:rFonts w:eastAsia="Times New Roman" w:cs="Arial"/>
                <w:b/>
                <w:color w:val="000000"/>
              </w:rPr>
            </w:pPr>
            <w:r w:rsidRPr="00F6227A">
              <w:rPr>
                <w:rFonts w:eastAsia="Times New Roman" w:cs="Arial"/>
                <w:b/>
                <w:color w:val="000000"/>
                <w:sz w:val="20"/>
                <w:szCs w:val="20"/>
              </w:rPr>
              <w:t>4.2%</w:t>
            </w:r>
          </w:p>
        </w:tc>
        <w:tc>
          <w:tcPr>
            <w:tcW w:w="1278" w:type="dxa"/>
          </w:tcPr>
          <w:p w:rsidR="00EA395B" w:rsidRDefault="00EA395B" w:rsidP="00BB0D96">
            <w:pPr>
              <w:rPr>
                <w:rFonts w:eastAsia="Times New Roman" w:cs="Arial"/>
                <w:b/>
                <w:color w:val="000000"/>
              </w:rPr>
            </w:pPr>
            <w:r w:rsidRPr="00F6227A">
              <w:rPr>
                <w:rFonts w:eastAsia="Times New Roman" w:cs="Arial"/>
                <w:b/>
                <w:color w:val="000000"/>
                <w:sz w:val="20"/>
                <w:szCs w:val="20"/>
              </w:rPr>
              <w:t>3.8%</w:t>
            </w:r>
          </w:p>
        </w:tc>
      </w:tr>
      <w:tr w:rsidR="00EA395B" w:rsidTr="00EA395B">
        <w:tc>
          <w:tcPr>
            <w:tcW w:w="6948" w:type="dxa"/>
          </w:tcPr>
          <w:p w:rsidR="00EA395B" w:rsidRPr="008C2A97" w:rsidRDefault="00EA395B" w:rsidP="00BB0D96">
            <w:pPr>
              <w:rPr>
                <w:rFonts w:eastAsia="Times New Roman" w:cs="Arial"/>
                <w:color w:val="000000"/>
                <w:sz w:val="18"/>
                <w:szCs w:val="18"/>
              </w:rPr>
            </w:pPr>
            <w:r w:rsidRPr="003E4575">
              <w:rPr>
                <w:rFonts w:eastAsia="Times New Roman" w:cs="Arial"/>
                <w:color w:val="000000"/>
                <w:sz w:val="18"/>
                <w:szCs w:val="18"/>
              </w:rPr>
              <w:t>Source: U.S. Census Bureau (2010)</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8C2A97" w:rsidRDefault="006A65ED" w:rsidP="00BB0D96">
            <w:pPr>
              <w:rPr>
                <w:b/>
              </w:rPr>
            </w:pPr>
            <w:r>
              <w:rPr>
                <w:b/>
              </w:rPr>
              <w:t xml:space="preserve">Household - </w:t>
            </w:r>
            <w:r w:rsidR="00EA395B" w:rsidRPr="008C2A97">
              <w:rPr>
                <w:b/>
              </w:rPr>
              <w:t>Among households with children, percentage of households with one, two, or three or more adults</w:t>
            </w:r>
          </w:p>
        </w:tc>
        <w:tc>
          <w:tcPr>
            <w:tcW w:w="1350" w:type="dxa"/>
            <w:shd w:val="clear" w:color="auto" w:fill="BFBFBF" w:themeFill="background1" w:themeFillShade="BF"/>
          </w:tcPr>
          <w:p w:rsidR="00EA395B" w:rsidRPr="0097081C" w:rsidRDefault="00EA395B" w:rsidP="00BB0D96">
            <w:pPr>
              <w:rPr>
                <w:b/>
              </w:rPr>
            </w:pPr>
            <w:r w:rsidRPr="0097081C">
              <w:rPr>
                <w:b/>
              </w:rPr>
              <w:t>Montana</w:t>
            </w:r>
          </w:p>
        </w:tc>
        <w:tc>
          <w:tcPr>
            <w:tcW w:w="1278" w:type="dxa"/>
            <w:shd w:val="clear" w:color="auto" w:fill="BFBFBF" w:themeFill="background1" w:themeFillShade="BF"/>
          </w:tcPr>
          <w:p w:rsidR="00EA395B" w:rsidRPr="00585AD3" w:rsidRDefault="00EA395B" w:rsidP="00BB0D96">
            <w:pPr>
              <w:jc w:val="center"/>
              <w:rPr>
                <w:b/>
                <w:i/>
              </w:rPr>
            </w:pPr>
            <w:r w:rsidRPr="00585AD3">
              <w:rPr>
                <w:b/>
                <w:i/>
              </w:rPr>
              <w:t>US</w:t>
            </w:r>
          </w:p>
        </w:tc>
      </w:tr>
      <w:tr w:rsidR="00EA395B" w:rsidTr="00EA395B">
        <w:tc>
          <w:tcPr>
            <w:tcW w:w="6948" w:type="dxa"/>
          </w:tcPr>
          <w:p w:rsidR="00EA395B" w:rsidRDefault="00EA395B" w:rsidP="00BB0D96">
            <w:r w:rsidRPr="00F6227A">
              <w:rPr>
                <w:rFonts w:eastAsia="Times New Roman" w:cs="Arial"/>
                <w:b/>
                <w:color w:val="000000"/>
                <w:sz w:val="20"/>
                <w:szCs w:val="20"/>
              </w:rPr>
              <w:t>1 adult</w:t>
            </w:r>
          </w:p>
        </w:tc>
        <w:tc>
          <w:tcPr>
            <w:tcW w:w="1350" w:type="dxa"/>
          </w:tcPr>
          <w:p w:rsidR="00EA395B" w:rsidRDefault="00EA395B" w:rsidP="00BB0D96">
            <w:r w:rsidRPr="00F6227A">
              <w:rPr>
                <w:rFonts w:eastAsia="Times New Roman" w:cs="Arial"/>
                <w:b/>
                <w:color w:val="000000"/>
                <w:sz w:val="20"/>
                <w:szCs w:val="20"/>
              </w:rPr>
              <w:t>16.0%</w:t>
            </w:r>
          </w:p>
        </w:tc>
        <w:tc>
          <w:tcPr>
            <w:tcW w:w="1278" w:type="dxa"/>
          </w:tcPr>
          <w:p w:rsidR="00EA395B" w:rsidRDefault="00EA395B" w:rsidP="00BB0D96">
            <w:r w:rsidRPr="00F6227A">
              <w:rPr>
                <w:rFonts w:eastAsia="Times New Roman" w:cs="Arial"/>
                <w:b/>
                <w:color w:val="000000"/>
                <w:sz w:val="20"/>
                <w:szCs w:val="20"/>
              </w:rPr>
              <w:t>14.9 %</w:t>
            </w:r>
          </w:p>
        </w:tc>
      </w:tr>
      <w:tr w:rsidR="00EA395B" w:rsidTr="00EA395B">
        <w:tc>
          <w:tcPr>
            <w:tcW w:w="6948" w:type="dxa"/>
          </w:tcPr>
          <w:p w:rsidR="00EA395B" w:rsidRDefault="00EA395B" w:rsidP="00BB0D96">
            <w:pPr>
              <w:rPr>
                <w:rFonts w:eastAsia="Times New Roman" w:cs="Arial"/>
                <w:b/>
                <w:color w:val="000000"/>
              </w:rPr>
            </w:pPr>
            <w:r>
              <w:rPr>
                <w:rFonts w:eastAsia="Times New Roman" w:cs="Arial"/>
                <w:b/>
                <w:color w:val="000000"/>
                <w:sz w:val="20"/>
                <w:szCs w:val="20"/>
              </w:rPr>
              <w:t>2</w:t>
            </w:r>
            <w:r w:rsidRPr="00F6227A">
              <w:rPr>
                <w:rFonts w:eastAsia="Times New Roman" w:cs="Arial"/>
                <w:b/>
                <w:color w:val="000000"/>
                <w:sz w:val="20"/>
                <w:szCs w:val="20"/>
              </w:rPr>
              <w:t xml:space="preserve"> adult</w:t>
            </w:r>
          </w:p>
        </w:tc>
        <w:tc>
          <w:tcPr>
            <w:tcW w:w="1350" w:type="dxa"/>
          </w:tcPr>
          <w:p w:rsidR="00EA395B" w:rsidRDefault="00EA395B" w:rsidP="00BB0D96">
            <w:pPr>
              <w:rPr>
                <w:rFonts w:eastAsia="Times New Roman" w:cs="Arial"/>
                <w:b/>
                <w:color w:val="000000"/>
              </w:rPr>
            </w:pPr>
            <w:r w:rsidRPr="00F6227A">
              <w:rPr>
                <w:rFonts w:eastAsia="Times New Roman" w:cs="Arial"/>
                <w:b/>
                <w:color w:val="000000"/>
                <w:sz w:val="20"/>
                <w:szCs w:val="20"/>
              </w:rPr>
              <w:t>67.7%</w:t>
            </w:r>
          </w:p>
        </w:tc>
        <w:tc>
          <w:tcPr>
            <w:tcW w:w="1278" w:type="dxa"/>
          </w:tcPr>
          <w:p w:rsidR="00EA395B" w:rsidRDefault="00EA395B" w:rsidP="00BB0D96">
            <w:pPr>
              <w:rPr>
                <w:rFonts w:eastAsia="Times New Roman" w:cs="Arial"/>
                <w:b/>
                <w:color w:val="000000"/>
              </w:rPr>
            </w:pPr>
            <w:r w:rsidRPr="00F6227A">
              <w:rPr>
                <w:rFonts w:eastAsia="Times New Roman" w:cs="Arial"/>
                <w:b/>
                <w:color w:val="000000"/>
                <w:sz w:val="20"/>
                <w:szCs w:val="20"/>
              </w:rPr>
              <w:t>63.4 %</w:t>
            </w:r>
          </w:p>
        </w:tc>
      </w:tr>
      <w:tr w:rsidR="00EA395B" w:rsidTr="00EA395B">
        <w:tc>
          <w:tcPr>
            <w:tcW w:w="6948" w:type="dxa"/>
          </w:tcPr>
          <w:p w:rsidR="00EA395B" w:rsidRDefault="00EA395B" w:rsidP="00BB0D96">
            <w:pPr>
              <w:rPr>
                <w:rFonts w:eastAsia="Times New Roman" w:cs="Arial"/>
                <w:b/>
                <w:color w:val="000000"/>
              </w:rPr>
            </w:pPr>
            <w:r>
              <w:rPr>
                <w:rFonts w:eastAsia="Times New Roman" w:cs="Arial"/>
                <w:b/>
                <w:color w:val="000000"/>
                <w:sz w:val="20"/>
                <w:szCs w:val="20"/>
              </w:rPr>
              <w:t>3</w:t>
            </w:r>
            <w:r w:rsidRPr="00F6227A">
              <w:rPr>
                <w:rFonts w:eastAsia="Times New Roman" w:cs="Arial"/>
                <w:b/>
                <w:color w:val="000000"/>
                <w:sz w:val="20"/>
                <w:szCs w:val="20"/>
              </w:rPr>
              <w:t xml:space="preserve"> adult</w:t>
            </w:r>
          </w:p>
        </w:tc>
        <w:tc>
          <w:tcPr>
            <w:tcW w:w="1350" w:type="dxa"/>
          </w:tcPr>
          <w:p w:rsidR="00EA395B" w:rsidRDefault="00EA395B" w:rsidP="00BB0D96">
            <w:pPr>
              <w:rPr>
                <w:rFonts w:eastAsia="Times New Roman" w:cs="Arial"/>
                <w:b/>
                <w:color w:val="000000"/>
              </w:rPr>
            </w:pPr>
            <w:r w:rsidRPr="00F6227A">
              <w:rPr>
                <w:rFonts w:eastAsia="Times New Roman" w:cs="Arial"/>
                <w:b/>
                <w:color w:val="000000"/>
                <w:sz w:val="20"/>
                <w:szCs w:val="20"/>
              </w:rPr>
              <w:t>16.3%</w:t>
            </w:r>
          </w:p>
        </w:tc>
        <w:tc>
          <w:tcPr>
            <w:tcW w:w="1278" w:type="dxa"/>
          </w:tcPr>
          <w:p w:rsidR="00EA395B" w:rsidRDefault="00EA395B" w:rsidP="00BB0D96">
            <w:pPr>
              <w:rPr>
                <w:rFonts w:eastAsia="Times New Roman" w:cs="Arial"/>
                <w:b/>
                <w:color w:val="000000"/>
              </w:rPr>
            </w:pPr>
            <w:r w:rsidRPr="00F6227A">
              <w:rPr>
                <w:rFonts w:eastAsia="Times New Roman" w:cs="Arial"/>
                <w:b/>
                <w:color w:val="000000"/>
                <w:sz w:val="20"/>
                <w:szCs w:val="20"/>
              </w:rPr>
              <w:t>21.7%</w:t>
            </w:r>
          </w:p>
        </w:tc>
      </w:tr>
      <w:tr w:rsidR="00EA395B" w:rsidTr="00EA395B">
        <w:tc>
          <w:tcPr>
            <w:tcW w:w="6948" w:type="dxa"/>
          </w:tcPr>
          <w:p w:rsidR="00EA395B" w:rsidRPr="008C2A97" w:rsidRDefault="00EA395B" w:rsidP="00BB0D96">
            <w:pPr>
              <w:rPr>
                <w:rFonts w:eastAsia="Times New Roman" w:cs="Arial"/>
                <w:color w:val="000000"/>
                <w:sz w:val="20"/>
                <w:szCs w:val="20"/>
              </w:rPr>
            </w:pPr>
            <w:r w:rsidRPr="00526D5B">
              <w:rPr>
                <w:rFonts w:eastAsia="Times New Roman" w:cs="Arial"/>
                <w:color w:val="000000"/>
                <w:sz w:val="18"/>
                <w:szCs w:val="18"/>
              </w:rPr>
              <w:t>Source</w:t>
            </w:r>
            <w:r w:rsidRPr="00F6227A">
              <w:rPr>
                <w:rFonts w:eastAsia="Times New Roman" w:cs="Arial"/>
                <w:color w:val="000000"/>
                <w:sz w:val="18"/>
                <w:szCs w:val="18"/>
              </w:rPr>
              <w:t>: National Survey of Children with Special Health Care Needs (2009-2010</w:t>
            </w:r>
            <w:r w:rsidRPr="003E4575">
              <w:rPr>
                <w:rFonts w:eastAsia="Times New Roman" w:cs="Arial"/>
                <w:color w:val="000000"/>
                <w:sz w:val="20"/>
                <w:szCs w:val="20"/>
              </w:rPr>
              <w:t>)</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585AD3" w:rsidRDefault="00EA395B" w:rsidP="00BB0D96">
            <w:pPr>
              <w:rPr>
                <w:rFonts w:eastAsia="Times New Roman" w:cs="Arial"/>
                <w:b/>
                <w:color w:val="000000"/>
                <w:sz w:val="18"/>
                <w:szCs w:val="18"/>
              </w:rPr>
            </w:pPr>
            <w:r w:rsidRPr="00585AD3">
              <w:rPr>
                <w:b/>
              </w:rPr>
              <w:t>Urban/Rural</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526D5B" w:rsidRDefault="00EA395B" w:rsidP="00BB0D96">
            <w:pPr>
              <w:rPr>
                <w:rFonts w:eastAsia="Times New Roman" w:cs="Arial"/>
                <w:color w:val="000000"/>
                <w:sz w:val="18"/>
                <w:szCs w:val="18"/>
              </w:rPr>
            </w:pPr>
            <w:r w:rsidRPr="00F6227A">
              <w:rPr>
                <w:rFonts w:eastAsia="Times New Roman" w:cs="Arial"/>
                <w:b/>
                <w:color w:val="000000"/>
                <w:sz w:val="20"/>
                <w:szCs w:val="20"/>
              </w:rPr>
              <w:t>Percentage of population living in urban areas</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34%</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84%</w:t>
            </w:r>
          </w:p>
        </w:tc>
      </w:tr>
      <w:tr w:rsidR="00EA395B" w:rsidTr="00EA395B">
        <w:tc>
          <w:tcPr>
            <w:tcW w:w="6948" w:type="dxa"/>
          </w:tcPr>
          <w:p w:rsidR="00EA395B" w:rsidRPr="00526D5B" w:rsidRDefault="00EA395B" w:rsidP="00BB0D96">
            <w:pPr>
              <w:rPr>
                <w:rFonts w:eastAsia="Times New Roman" w:cs="Arial"/>
                <w:color w:val="000000"/>
                <w:sz w:val="18"/>
                <w:szCs w:val="18"/>
              </w:rPr>
            </w:pPr>
            <w:r w:rsidRPr="003E4575">
              <w:rPr>
                <w:rFonts w:eastAsia="Times New Roman" w:cs="Arial"/>
                <w:color w:val="000000"/>
                <w:sz w:val="18"/>
                <w:szCs w:val="18"/>
              </w:rPr>
              <w:t>Source: Kaiser Family Foundation (2012)</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585AD3" w:rsidRDefault="00EA395B" w:rsidP="00BB0D96">
            <w:pPr>
              <w:rPr>
                <w:rFonts w:eastAsia="Times New Roman" w:cs="Arial"/>
                <w:b/>
                <w:color w:val="000000"/>
                <w:sz w:val="18"/>
                <w:szCs w:val="18"/>
              </w:rPr>
            </w:pPr>
            <w:r w:rsidRPr="00585AD3">
              <w:rPr>
                <w:b/>
              </w:rPr>
              <w:t>Special Health Care Needs</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3E4575" w:rsidRDefault="00EA395B" w:rsidP="00BB0D96">
            <w:pPr>
              <w:rPr>
                <w:rFonts w:eastAsia="Times New Roman" w:cs="Arial"/>
                <w:color w:val="000000"/>
                <w:sz w:val="18"/>
                <w:szCs w:val="18"/>
              </w:rPr>
            </w:pPr>
            <w:r w:rsidRPr="00F6227A">
              <w:rPr>
                <w:rFonts w:eastAsia="Times New Roman" w:cs="Arial"/>
                <w:b/>
                <w:color w:val="000000"/>
                <w:sz w:val="20"/>
                <w:szCs w:val="20"/>
              </w:rPr>
              <w:t>Percentage of children who have special health care needs</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14.0%</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15.1%</w:t>
            </w:r>
          </w:p>
        </w:tc>
      </w:tr>
      <w:tr w:rsidR="00EA395B" w:rsidTr="00EA395B">
        <w:tc>
          <w:tcPr>
            <w:tcW w:w="6948" w:type="dxa"/>
          </w:tcPr>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National Survey of Children with Special Health Care Needs (2009-2010)</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585AD3" w:rsidRDefault="00EA395B" w:rsidP="00BB0D96">
            <w:pPr>
              <w:rPr>
                <w:rFonts w:eastAsia="Times New Roman" w:cs="Arial"/>
                <w:b/>
                <w:color w:val="000000"/>
                <w:sz w:val="18"/>
                <w:szCs w:val="18"/>
              </w:rPr>
            </w:pPr>
            <w:r>
              <w:rPr>
                <w:b/>
              </w:rPr>
              <w:lastRenderedPageBreak/>
              <w:t>Percentage of children with reported special health care needs, by age group</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3E4575" w:rsidRDefault="00EA395B" w:rsidP="00BB0D96">
            <w:pPr>
              <w:rPr>
                <w:rFonts w:eastAsia="Times New Roman" w:cs="Arial"/>
                <w:color w:val="000000"/>
                <w:sz w:val="18"/>
                <w:szCs w:val="18"/>
              </w:rPr>
            </w:pPr>
            <w:r w:rsidRPr="00F6227A">
              <w:rPr>
                <w:rFonts w:eastAsia="Times New Roman" w:cs="Arial"/>
                <w:b/>
                <w:color w:val="000000"/>
                <w:sz w:val="20"/>
                <w:szCs w:val="20"/>
              </w:rPr>
              <w:t>0-5</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7.6%</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9.3%</w:t>
            </w:r>
          </w:p>
        </w:tc>
      </w:tr>
      <w:tr w:rsidR="00EA395B" w:rsidTr="00EA395B">
        <w:tc>
          <w:tcPr>
            <w:tcW w:w="6948" w:type="dxa"/>
          </w:tcPr>
          <w:p w:rsidR="00EA395B" w:rsidRPr="003E4575" w:rsidRDefault="00EA395B" w:rsidP="00BB0D96">
            <w:pPr>
              <w:rPr>
                <w:rFonts w:eastAsia="Times New Roman" w:cs="Arial"/>
                <w:color w:val="000000"/>
                <w:sz w:val="18"/>
                <w:szCs w:val="18"/>
              </w:rPr>
            </w:pPr>
            <w:r w:rsidRPr="00F6227A">
              <w:rPr>
                <w:rFonts w:eastAsia="Times New Roman" w:cs="Arial"/>
                <w:b/>
                <w:color w:val="000000"/>
                <w:sz w:val="20"/>
                <w:szCs w:val="20"/>
              </w:rPr>
              <w:t>6-11</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15.9%</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17.7%</w:t>
            </w:r>
          </w:p>
        </w:tc>
      </w:tr>
      <w:tr w:rsidR="00EA395B" w:rsidTr="00EA395B">
        <w:tc>
          <w:tcPr>
            <w:tcW w:w="6948" w:type="dxa"/>
          </w:tcPr>
          <w:p w:rsidR="00EA395B" w:rsidRPr="003E4575" w:rsidRDefault="00EA395B" w:rsidP="00BB0D96">
            <w:pPr>
              <w:rPr>
                <w:rFonts w:eastAsia="Times New Roman" w:cs="Arial"/>
                <w:color w:val="000000"/>
                <w:sz w:val="18"/>
                <w:szCs w:val="18"/>
              </w:rPr>
            </w:pPr>
            <w:r w:rsidRPr="00F6227A">
              <w:rPr>
                <w:rFonts w:eastAsia="Times New Roman" w:cs="Arial"/>
                <w:b/>
                <w:color w:val="000000"/>
                <w:sz w:val="20"/>
                <w:szCs w:val="20"/>
              </w:rPr>
              <w:t>12-17</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18.2%</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18.4%</w:t>
            </w:r>
          </w:p>
        </w:tc>
      </w:tr>
      <w:tr w:rsidR="00EA395B" w:rsidTr="00EA395B">
        <w:tc>
          <w:tcPr>
            <w:tcW w:w="6948" w:type="dxa"/>
          </w:tcPr>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National Survey of Children with Special Health Care Needs (2009-2010</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tcPr>
          <w:p w:rsidR="00EA395B" w:rsidRPr="00F4177F" w:rsidRDefault="00EA395B" w:rsidP="00BB0D96">
            <w:pPr>
              <w:spacing w:after="120"/>
              <w:rPr>
                <w:rFonts w:eastAsia="Times New Roman" w:cs="Arial"/>
                <w:b/>
                <w:color w:val="000000"/>
              </w:rPr>
            </w:pPr>
            <w:r w:rsidRPr="00D82214">
              <w:rPr>
                <w:rFonts w:eastAsia="Times New Roman" w:cs="Arial"/>
                <w:b/>
                <w:color w:val="000000"/>
              </w:rPr>
              <w:t>Percentage of households with one or more children</w:t>
            </w:r>
            <w:r>
              <w:rPr>
                <w:rFonts w:eastAsia="Times New Roman" w:cs="Arial"/>
                <w:b/>
                <w:color w:val="000000"/>
              </w:rPr>
              <w:t xml:space="preserve"> with special health care needs</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20.9%</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23.0%</w:t>
            </w:r>
          </w:p>
        </w:tc>
      </w:tr>
      <w:tr w:rsidR="00EA395B" w:rsidTr="00EA395B">
        <w:tc>
          <w:tcPr>
            <w:tcW w:w="6948" w:type="dxa"/>
          </w:tcPr>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National Survey of Children with Special Health Care Needs (2009-2010)</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F4177F" w:rsidRDefault="00EA395B" w:rsidP="00BB0D96">
            <w:pPr>
              <w:rPr>
                <w:b/>
              </w:rPr>
            </w:pPr>
            <w:r w:rsidRPr="00F4177F">
              <w:rPr>
                <w:b/>
              </w:rPr>
              <w:t>Low Birth Weight</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3E4575" w:rsidRDefault="00EA395B" w:rsidP="00BB0D96">
            <w:pPr>
              <w:rPr>
                <w:rFonts w:eastAsia="Times New Roman" w:cs="Arial"/>
                <w:color w:val="000000"/>
                <w:sz w:val="18"/>
                <w:szCs w:val="18"/>
              </w:rPr>
            </w:pPr>
            <w:r w:rsidRPr="00F6227A">
              <w:rPr>
                <w:rFonts w:eastAsia="Times New Roman" w:cs="Arial"/>
                <w:b/>
                <w:color w:val="000000"/>
                <w:sz w:val="20"/>
                <w:szCs w:val="20"/>
              </w:rPr>
              <w:t>Percentage of live births that are low birth weight</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7.1%</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8.2%</w:t>
            </w:r>
          </w:p>
        </w:tc>
      </w:tr>
      <w:tr w:rsidR="00EA395B" w:rsidTr="00EA395B">
        <w:tc>
          <w:tcPr>
            <w:tcW w:w="6948" w:type="dxa"/>
          </w:tcPr>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U.S. Dept. of Health and Human Services, Health Resources and Services Administration, Maternal and Child Health Bureau (2012)</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417458" w:rsidRDefault="00EA395B" w:rsidP="00BB0D96">
            <w:pPr>
              <w:rPr>
                <w:rFonts w:eastAsia="Times New Roman" w:cs="Arial"/>
                <w:b/>
                <w:color w:val="000000"/>
              </w:rPr>
            </w:pPr>
            <w:r w:rsidRPr="00417458">
              <w:rPr>
                <w:rFonts w:eastAsia="Times New Roman" w:cs="Arial"/>
                <w:b/>
                <w:color w:val="000000"/>
              </w:rPr>
              <w:t>Special Education</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4F7A91" w:rsidRDefault="00EA395B" w:rsidP="00BB0D96">
            <w:pPr>
              <w:rPr>
                <w:rFonts w:eastAsia="Times New Roman" w:cs="Arial"/>
                <w:color w:val="000000"/>
              </w:rPr>
            </w:pPr>
            <w:r w:rsidRPr="004F7A91">
              <w:rPr>
                <w:rFonts w:eastAsia="Times New Roman" w:cs="Arial"/>
                <w:b/>
                <w:color w:val="000000"/>
              </w:rPr>
              <w:t>Percentage of public school students enrolled in Special Education</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12.1</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13.1</w:t>
            </w:r>
          </w:p>
        </w:tc>
      </w:tr>
      <w:tr w:rsidR="00EA395B" w:rsidTr="00EA395B">
        <w:tc>
          <w:tcPr>
            <w:tcW w:w="6948" w:type="dxa"/>
          </w:tcPr>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U.S. Dept. of Education (2011)</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bl>
    <w:p w:rsidR="00EA395B" w:rsidRDefault="00EA395B" w:rsidP="00EA395B">
      <w:pPr>
        <w:spacing w:after="360" w:line="240" w:lineRule="auto"/>
        <w:rPr>
          <w:rFonts w:eastAsia="Times New Roman" w:cs="Arial"/>
          <w:color w:val="000000"/>
          <w:sz w:val="18"/>
          <w:szCs w:val="18"/>
        </w:rPr>
      </w:pPr>
    </w:p>
    <w:tbl>
      <w:tblPr>
        <w:tblStyle w:val="TableGrid"/>
        <w:tblW w:w="0" w:type="auto"/>
        <w:tblCellMar>
          <w:top w:w="29" w:type="dxa"/>
          <w:left w:w="115" w:type="dxa"/>
          <w:bottom w:w="29" w:type="dxa"/>
          <w:right w:w="115" w:type="dxa"/>
        </w:tblCellMar>
        <w:tblLook w:val="0620" w:firstRow="1" w:lastRow="0" w:firstColumn="0" w:lastColumn="0" w:noHBand="1" w:noVBand="1"/>
        <w:tblCaption w:val="Table; Economics"/>
        <w:tblDescription w:val="Montana and US statistics for: Economics, Unemployment, Financial Impact of Caregiving, Employer Size, Employer Sponsored Health Insurance, Medicaid Eligibility, Federal Match for Medicaid, and Education Expenditures "/>
      </w:tblPr>
      <w:tblGrid>
        <w:gridCol w:w="6948"/>
        <w:gridCol w:w="1350"/>
        <w:gridCol w:w="1278"/>
      </w:tblGrid>
      <w:tr w:rsidR="00EA395B" w:rsidTr="00EA395B">
        <w:trPr>
          <w:tblHeader/>
        </w:trPr>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F4177F" w:rsidRDefault="00EA395B" w:rsidP="00BB0D96">
            <w:pPr>
              <w:rPr>
                <w:b/>
                <w:sz w:val="28"/>
                <w:szCs w:val="28"/>
              </w:rPr>
            </w:pPr>
            <w:r w:rsidRPr="00F4177F">
              <w:rPr>
                <w:b/>
                <w:sz w:val="28"/>
                <w:szCs w:val="28"/>
              </w:rPr>
              <w:t xml:space="preserve">Table: </w:t>
            </w:r>
            <w:r>
              <w:rPr>
                <w:b/>
                <w:sz w:val="28"/>
                <w:szCs w:val="28"/>
              </w:rPr>
              <w:t>Economics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97081C" w:rsidRDefault="00EA395B" w:rsidP="00BB0D96">
            <w:pPr>
              <w:rPr>
                <w:b/>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97081C" w:rsidRDefault="00EA395B" w:rsidP="00BB0D96">
            <w:pPr>
              <w:rPr>
                <w:b/>
              </w:rPr>
            </w:pPr>
          </w:p>
        </w:tc>
      </w:tr>
      <w:tr w:rsidR="00EA395B" w:rsidTr="00EA395B">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D96EAA" w:rsidRDefault="00EA395B" w:rsidP="00BB0D96">
            <w:pPr>
              <w:rPr>
                <w:b/>
              </w:rPr>
            </w:pPr>
            <w:r>
              <w:rPr>
                <w:b/>
              </w:rPr>
              <w:t>Income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Montana</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US</w:t>
            </w:r>
          </w:p>
        </w:tc>
      </w:tr>
      <w:tr w:rsidR="00EA395B" w:rsidTr="00EA395B">
        <w:tc>
          <w:tcPr>
            <w:tcW w:w="6948" w:type="dxa"/>
            <w:tcBorders>
              <w:top w:val="single" w:sz="4" w:space="0" w:color="000000" w:themeColor="text1"/>
            </w:tcBorders>
          </w:tcPr>
          <w:p w:rsidR="00EA395B" w:rsidRPr="004F7A91" w:rsidRDefault="00EA395B" w:rsidP="00BB0D96">
            <w:pPr>
              <w:rPr>
                <w:rFonts w:eastAsia="Times New Roman" w:cs="Arial"/>
                <w:b/>
                <w:color w:val="000000"/>
              </w:rPr>
            </w:pPr>
            <w:r w:rsidRPr="004F7A91">
              <w:rPr>
                <w:rFonts w:eastAsia="Times New Roman" w:cs="Arial"/>
                <w:b/>
                <w:color w:val="000000"/>
              </w:rPr>
              <w:t>Median annual household income</w:t>
            </w:r>
          </w:p>
          <w:p w:rsidR="00EA395B" w:rsidRPr="0097081C" w:rsidRDefault="00EA395B" w:rsidP="00BB0D96">
            <w:pPr>
              <w:rPr>
                <w:b/>
              </w:rPr>
            </w:pPr>
            <w:r w:rsidRPr="003E4575">
              <w:rPr>
                <w:rFonts w:eastAsia="Times New Roman" w:cs="Arial"/>
                <w:color w:val="000000"/>
                <w:sz w:val="18"/>
                <w:szCs w:val="18"/>
              </w:rPr>
              <w:t>Source: Kaise</w:t>
            </w:r>
            <w:r>
              <w:rPr>
                <w:rFonts w:eastAsia="Times New Roman" w:cs="Arial"/>
                <w:color w:val="000000"/>
                <w:sz w:val="18"/>
                <w:szCs w:val="18"/>
              </w:rPr>
              <w:t>r Family Foundation (2009-2011</w:t>
            </w:r>
          </w:p>
        </w:tc>
        <w:tc>
          <w:tcPr>
            <w:tcW w:w="1350" w:type="dxa"/>
            <w:tcBorders>
              <w:top w:val="single" w:sz="4" w:space="0" w:color="000000" w:themeColor="text1"/>
            </w:tcBorders>
          </w:tcPr>
          <w:p w:rsidR="00EA395B" w:rsidRDefault="00EA395B" w:rsidP="00BB0D96">
            <w:r w:rsidRPr="00F6227A">
              <w:rPr>
                <w:rFonts w:eastAsia="Times New Roman" w:cs="Arial"/>
                <w:b/>
                <w:color w:val="000000"/>
                <w:sz w:val="20"/>
                <w:szCs w:val="20"/>
              </w:rPr>
              <w:t>$41,753</w:t>
            </w:r>
          </w:p>
        </w:tc>
        <w:tc>
          <w:tcPr>
            <w:tcW w:w="1278" w:type="dxa"/>
            <w:tcBorders>
              <w:top w:val="single" w:sz="4" w:space="0" w:color="000000" w:themeColor="text1"/>
            </w:tcBorders>
          </w:tcPr>
          <w:p w:rsidR="00EA395B" w:rsidRDefault="00EA395B" w:rsidP="00BB0D96">
            <w:r w:rsidRPr="00F6227A">
              <w:rPr>
                <w:rFonts w:eastAsia="Times New Roman" w:cs="Arial"/>
                <w:b/>
                <w:color w:val="000000"/>
                <w:sz w:val="20"/>
                <w:szCs w:val="20"/>
              </w:rPr>
              <w:t>$50,443</w:t>
            </w:r>
          </w:p>
        </w:tc>
      </w:tr>
      <w:tr w:rsidR="00EA395B" w:rsidTr="00EA395B">
        <w:tc>
          <w:tcPr>
            <w:tcW w:w="6948" w:type="dxa"/>
          </w:tcPr>
          <w:p w:rsidR="00EA395B" w:rsidRPr="00E00B28" w:rsidRDefault="00EA395B" w:rsidP="00BB0D96">
            <w:pPr>
              <w:rPr>
                <w:rFonts w:eastAsia="Times New Roman" w:cs="Arial"/>
                <w:b/>
                <w:color w:val="000000"/>
              </w:rPr>
            </w:pPr>
            <w:r w:rsidRPr="00E00B28">
              <w:rPr>
                <w:rFonts w:eastAsia="Times New Roman" w:cs="Arial"/>
                <w:b/>
                <w:color w:val="000000"/>
              </w:rPr>
              <w:t>Percentage of children in families with income below 200% of the federal poverty level</w:t>
            </w:r>
          </w:p>
          <w:p w:rsidR="00EA395B" w:rsidRDefault="00EA395B" w:rsidP="00BB0D96">
            <w:r w:rsidRPr="003E4575">
              <w:rPr>
                <w:rFonts w:eastAsia="Times New Roman" w:cs="Arial"/>
                <w:color w:val="000000"/>
                <w:sz w:val="18"/>
                <w:szCs w:val="18"/>
              </w:rPr>
              <w:t>Source: National Survey of Children with Specia</w:t>
            </w:r>
            <w:r>
              <w:rPr>
                <w:rFonts w:eastAsia="Times New Roman" w:cs="Arial"/>
                <w:color w:val="000000"/>
                <w:sz w:val="18"/>
                <w:szCs w:val="18"/>
              </w:rPr>
              <w:t>l Health Care Needs (2009-2010)</w:t>
            </w:r>
          </w:p>
        </w:tc>
        <w:tc>
          <w:tcPr>
            <w:tcW w:w="1350" w:type="dxa"/>
          </w:tcPr>
          <w:p w:rsidR="00EA395B" w:rsidRDefault="00EA395B" w:rsidP="00BB0D96">
            <w:r w:rsidRPr="00F6227A">
              <w:rPr>
                <w:rFonts w:eastAsia="Times New Roman" w:cs="Arial"/>
                <w:b/>
                <w:color w:val="000000"/>
                <w:sz w:val="20"/>
                <w:szCs w:val="20"/>
              </w:rPr>
              <w:t>45.8%</w:t>
            </w:r>
          </w:p>
        </w:tc>
        <w:tc>
          <w:tcPr>
            <w:tcW w:w="1278" w:type="dxa"/>
          </w:tcPr>
          <w:p w:rsidR="00EA395B" w:rsidRDefault="00EA395B" w:rsidP="00BB0D96">
            <w:r w:rsidRPr="00F6227A">
              <w:rPr>
                <w:rFonts w:eastAsia="Times New Roman" w:cs="Arial"/>
                <w:b/>
                <w:color w:val="000000"/>
                <w:sz w:val="20"/>
                <w:szCs w:val="20"/>
              </w:rPr>
              <w:t>42.4%</w:t>
            </w:r>
          </w:p>
        </w:tc>
      </w:tr>
      <w:tr w:rsidR="00EA395B" w:rsidTr="00EA395B">
        <w:tc>
          <w:tcPr>
            <w:tcW w:w="6948" w:type="dxa"/>
          </w:tcPr>
          <w:p w:rsidR="00EA395B" w:rsidRPr="00E00B28" w:rsidRDefault="00EA395B" w:rsidP="00BB0D96">
            <w:pPr>
              <w:rPr>
                <w:rFonts w:eastAsia="Times New Roman" w:cs="Arial"/>
                <w:b/>
                <w:color w:val="000000"/>
              </w:rPr>
            </w:pPr>
            <w:r w:rsidRPr="00E00B28">
              <w:rPr>
                <w:rFonts w:eastAsia="Times New Roman" w:cs="Arial"/>
                <w:b/>
                <w:color w:val="000000"/>
              </w:rPr>
              <w:t>Percentage of CSHCN in families with income below 200% of the federal poverty level</w:t>
            </w:r>
          </w:p>
          <w:p w:rsidR="00EA395B" w:rsidRPr="00D96EAA" w:rsidRDefault="00EA395B" w:rsidP="00BB0D96">
            <w:pPr>
              <w:rPr>
                <w:rFonts w:eastAsia="Times New Roman" w:cs="Arial"/>
                <w:color w:val="000000"/>
                <w:sz w:val="18"/>
                <w:szCs w:val="18"/>
              </w:rPr>
            </w:pPr>
            <w:r w:rsidRPr="003E4575">
              <w:rPr>
                <w:rFonts w:eastAsia="Times New Roman" w:cs="Arial"/>
                <w:color w:val="000000"/>
                <w:sz w:val="18"/>
                <w:szCs w:val="18"/>
              </w:rPr>
              <w:t>Source: National Survey of Children with Special Health Care Needs (2009-2010)</w:t>
            </w:r>
          </w:p>
        </w:tc>
        <w:tc>
          <w:tcPr>
            <w:tcW w:w="1350" w:type="dxa"/>
          </w:tcPr>
          <w:p w:rsidR="00EA395B" w:rsidRPr="00F6227A" w:rsidRDefault="00EA395B" w:rsidP="00BB0D96">
            <w:pPr>
              <w:rPr>
                <w:rFonts w:eastAsia="Times New Roman" w:cs="Arial"/>
                <w:b/>
                <w:color w:val="000000"/>
              </w:rPr>
            </w:pPr>
            <w:r w:rsidRPr="00F6227A">
              <w:rPr>
                <w:rFonts w:eastAsia="Times New Roman" w:cs="Arial"/>
                <w:b/>
                <w:color w:val="000000"/>
                <w:sz w:val="20"/>
                <w:szCs w:val="20"/>
              </w:rPr>
              <w:t>51.6%</w:t>
            </w:r>
          </w:p>
        </w:tc>
        <w:tc>
          <w:tcPr>
            <w:tcW w:w="1278" w:type="dxa"/>
          </w:tcPr>
          <w:p w:rsidR="00EA395B" w:rsidRPr="00F6227A" w:rsidRDefault="00EA395B" w:rsidP="00BB0D96">
            <w:pPr>
              <w:rPr>
                <w:rFonts w:eastAsia="Times New Roman" w:cs="Arial"/>
                <w:b/>
                <w:color w:val="000000"/>
              </w:rPr>
            </w:pPr>
            <w:r w:rsidRPr="00F6227A">
              <w:rPr>
                <w:rFonts w:eastAsia="Times New Roman" w:cs="Arial"/>
                <w:b/>
                <w:color w:val="000000"/>
                <w:sz w:val="20"/>
                <w:szCs w:val="20"/>
              </w:rPr>
              <w:t>44.3%</w:t>
            </w:r>
          </w:p>
        </w:tc>
      </w:tr>
      <w:tr w:rsidR="00EA395B" w:rsidTr="00EA395B">
        <w:tc>
          <w:tcPr>
            <w:tcW w:w="6948" w:type="dxa"/>
            <w:shd w:val="clear" w:color="auto" w:fill="BFBFBF" w:themeFill="background1" w:themeFillShade="BF"/>
          </w:tcPr>
          <w:p w:rsidR="00EA395B" w:rsidRPr="00D96EAA" w:rsidRDefault="00EA395B" w:rsidP="00BB0D96">
            <w:pPr>
              <w:rPr>
                <w:b/>
              </w:rPr>
            </w:pPr>
            <w:r>
              <w:rPr>
                <w:b/>
              </w:rPr>
              <w:t>Unemployment</w:t>
            </w:r>
          </w:p>
        </w:tc>
        <w:tc>
          <w:tcPr>
            <w:tcW w:w="1350" w:type="dxa"/>
            <w:shd w:val="clear" w:color="auto" w:fill="BFBFBF" w:themeFill="background1" w:themeFillShade="BF"/>
          </w:tcPr>
          <w:p w:rsidR="00EA395B" w:rsidRPr="0097081C" w:rsidRDefault="00EA395B" w:rsidP="00BB0D96">
            <w:pPr>
              <w:rPr>
                <w:b/>
              </w:rPr>
            </w:pPr>
            <w:r w:rsidRPr="0097081C">
              <w:rPr>
                <w:b/>
              </w:rPr>
              <w:t>Montana</w:t>
            </w:r>
          </w:p>
        </w:tc>
        <w:tc>
          <w:tcPr>
            <w:tcW w:w="1278" w:type="dxa"/>
            <w:shd w:val="clear" w:color="auto" w:fill="BFBFBF" w:themeFill="background1" w:themeFillShade="BF"/>
          </w:tcPr>
          <w:p w:rsidR="00EA395B" w:rsidRPr="0097081C" w:rsidRDefault="00EA395B" w:rsidP="00BB0D96">
            <w:pPr>
              <w:rPr>
                <w:b/>
              </w:rPr>
            </w:pPr>
            <w:r w:rsidRPr="0097081C">
              <w:rPr>
                <w:b/>
              </w:rPr>
              <w:t>US</w:t>
            </w:r>
          </w:p>
        </w:tc>
      </w:tr>
      <w:tr w:rsidR="00EA395B" w:rsidTr="00EA395B">
        <w:tc>
          <w:tcPr>
            <w:tcW w:w="6948" w:type="dxa"/>
          </w:tcPr>
          <w:p w:rsidR="00EA395B" w:rsidRPr="004F7A91" w:rsidRDefault="00EA395B" w:rsidP="00BB0D96">
            <w:pPr>
              <w:rPr>
                <w:b/>
              </w:rPr>
            </w:pPr>
            <w:r w:rsidRPr="004F7A91">
              <w:rPr>
                <w:rFonts w:eastAsia="Times New Roman" w:cs="Arial"/>
                <w:b/>
                <w:color w:val="000000"/>
              </w:rPr>
              <w:t>Unemployment rate</w:t>
            </w:r>
          </w:p>
        </w:tc>
        <w:tc>
          <w:tcPr>
            <w:tcW w:w="1350" w:type="dxa"/>
          </w:tcPr>
          <w:p w:rsidR="00EA395B" w:rsidRDefault="00EA395B" w:rsidP="00BB0D96">
            <w:r w:rsidRPr="00F6227A">
              <w:rPr>
                <w:rFonts w:eastAsia="Times New Roman" w:cs="Arial"/>
                <w:b/>
                <w:color w:val="000000"/>
                <w:sz w:val="20"/>
                <w:szCs w:val="20"/>
              </w:rPr>
              <w:t>5.2%</w:t>
            </w:r>
          </w:p>
        </w:tc>
        <w:tc>
          <w:tcPr>
            <w:tcW w:w="1278" w:type="dxa"/>
          </w:tcPr>
          <w:p w:rsidR="00EA395B" w:rsidRDefault="00EA395B" w:rsidP="00BB0D96">
            <w:r w:rsidRPr="00F6227A">
              <w:rPr>
                <w:rFonts w:eastAsia="Times New Roman" w:cs="Arial"/>
                <w:b/>
                <w:color w:val="000000"/>
                <w:sz w:val="20"/>
                <w:szCs w:val="20"/>
              </w:rPr>
              <w:t>7.3%</w:t>
            </w:r>
          </w:p>
        </w:tc>
      </w:tr>
      <w:tr w:rsidR="00EA395B" w:rsidTr="00EA395B">
        <w:tc>
          <w:tcPr>
            <w:tcW w:w="6948" w:type="dxa"/>
          </w:tcPr>
          <w:p w:rsidR="00EA395B" w:rsidRPr="004F7A91" w:rsidRDefault="00EA395B" w:rsidP="00BB0D96">
            <w:pPr>
              <w:rPr>
                <w:rFonts w:eastAsia="Times New Roman" w:cs="Arial"/>
                <w:color w:val="000000"/>
                <w:sz w:val="18"/>
                <w:szCs w:val="18"/>
              </w:rPr>
            </w:pPr>
            <w:r w:rsidRPr="003E4575">
              <w:rPr>
                <w:rFonts w:eastAsia="Times New Roman" w:cs="Arial"/>
                <w:color w:val="000000"/>
                <w:sz w:val="18"/>
                <w:szCs w:val="18"/>
              </w:rPr>
              <w:t>Source: Kaiser Family Foundation (2013)</w:t>
            </w:r>
          </w:p>
        </w:tc>
        <w:tc>
          <w:tcPr>
            <w:tcW w:w="1350" w:type="dxa"/>
          </w:tcPr>
          <w:p w:rsidR="00EA395B" w:rsidRDefault="00EA395B" w:rsidP="00BB0D96"/>
        </w:tc>
        <w:tc>
          <w:tcPr>
            <w:tcW w:w="1278" w:type="dxa"/>
          </w:tcPr>
          <w:p w:rsidR="00EA395B" w:rsidRDefault="00EA395B" w:rsidP="00BB0D96"/>
        </w:tc>
      </w:tr>
      <w:tr w:rsidR="00EA395B" w:rsidTr="00EA395B">
        <w:tc>
          <w:tcPr>
            <w:tcW w:w="6948" w:type="dxa"/>
            <w:shd w:val="clear" w:color="auto" w:fill="BFBFBF" w:themeFill="background1" w:themeFillShade="BF"/>
          </w:tcPr>
          <w:p w:rsidR="00EA395B" w:rsidRPr="004F7A91" w:rsidRDefault="00EA395B" w:rsidP="00BB0D96">
            <w:pPr>
              <w:rPr>
                <w:b/>
              </w:rPr>
            </w:pPr>
            <w:r w:rsidRPr="004F7A91">
              <w:rPr>
                <w:b/>
              </w:rPr>
              <w:t>Financial Impact of Caregiving</w:t>
            </w:r>
          </w:p>
        </w:tc>
        <w:tc>
          <w:tcPr>
            <w:tcW w:w="1350" w:type="dxa"/>
            <w:shd w:val="clear" w:color="auto" w:fill="BFBFBF" w:themeFill="background1" w:themeFillShade="BF"/>
          </w:tcPr>
          <w:p w:rsidR="00EA395B" w:rsidRPr="0097081C" w:rsidRDefault="00EA395B" w:rsidP="00BB0D96">
            <w:pPr>
              <w:rPr>
                <w:b/>
              </w:rPr>
            </w:pPr>
            <w:r w:rsidRPr="0097081C">
              <w:rPr>
                <w:b/>
              </w:rPr>
              <w:t>Montana</w:t>
            </w:r>
          </w:p>
        </w:tc>
        <w:tc>
          <w:tcPr>
            <w:tcW w:w="1278" w:type="dxa"/>
            <w:shd w:val="clear" w:color="auto" w:fill="BFBFBF" w:themeFill="background1" w:themeFillShade="BF"/>
          </w:tcPr>
          <w:p w:rsidR="00EA395B" w:rsidRPr="00585AD3" w:rsidRDefault="00EA395B" w:rsidP="00BB0D96">
            <w:pPr>
              <w:jc w:val="center"/>
              <w:rPr>
                <w:b/>
                <w:i/>
              </w:rPr>
            </w:pPr>
            <w:r w:rsidRPr="00585AD3">
              <w:rPr>
                <w:b/>
                <w:i/>
              </w:rPr>
              <w:t>US</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families who report they have reduced work hours</w:t>
            </w:r>
          </w:p>
          <w:p w:rsidR="00EA395B" w:rsidRDefault="00EA395B" w:rsidP="00BB0D96">
            <w:r w:rsidRPr="00BC5DF6">
              <w:rPr>
                <w:rFonts w:eastAsia="Times New Roman" w:cs="Arial"/>
                <w:b/>
                <w:color w:val="000000"/>
              </w:rPr>
              <w:t>or stopped working to care for their CYSHCN</w:t>
            </w:r>
          </w:p>
        </w:tc>
        <w:tc>
          <w:tcPr>
            <w:tcW w:w="1350" w:type="dxa"/>
          </w:tcPr>
          <w:p w:rsidR="00EA395B" w:rsidRDefault="00EA395B" w:rsidP="00BB0D96">
            <w:r w:rsidRPr="00F6227A">
              <w:rPr>
                <w:rFonts w:eastAsia="Times New Roman" w:cs="Arial"/>
                <w:b/>
                <w:color w:val="000000"/>
                <w:sz w:val="20"/>
                <w:szCs w:val="20"/>
              </w:rPr>
              <w:t>23.1%</w:t>
            </w:r>
          </w:p>
        </w:tc>
        <w:tc>
          <w:tcPr>
            <w:tcW w:w="1278" w:type="dxa"/>
          </w:tcPr>
          <w:p w:rsidR="00EA395B" w:rsidRDefault="00EA395B" w:rsidP="00BB0D96">
            <w:r w:rsidRPr="00F6227A">
              <w:rPr>
                <w:rFonts w:eastAsia="Times New Roman" w:cs="Arial"/>
                <w:b/>
                <w:color w:val="000000"/>
                <w:sz w:val="20"/>
                <w:szCs w:val="20"/>
              </w:rPr>
              <w:t>25.0%</w:t>
            </w:r>
          </w:p>
        </w:tc>
      </w:tr>
      <w:tr w:rsidR="00EA395B" w:rsidTr="00EA395B">
        <w:tc>
          <w:tcPr>
            <w:tcW w:w="6948" w:type="dxa"/>
          </w:tcPr>
          <w:p w:rsidR="00EA395B" w:rsidRPr="004F7A91" w:rsidRDefault="00EA395B" w:rsidP="00BB0D96">
            <w:pPr>
              <w:rPr>
                <w:rFonts w:eastAsia="Times New Roman" w:cs="Arial"/>
                <w:color w:val="000000"/>
                <w:sz w:val="18"/>
                <w:szCs w:val="18"/>
              </w:rPr>
            </w:pPr>
            <w:r w:rsidRPr="003E4575">
              <w:rPr>
                <w:rFonts w:eastAsia="Times New Roman" w:cs="Arial"/>
                <w:color w:val="000000"/>
                <w:sz w:val="18"/>
                <w:szCs w:val="18"/>
              </w:rPr>
              <w:t>Source: National Survey of Children with Specia</w:t>
            </w:r>
            <w:r>
              <w:rPr>
                <w:rFonts w:eastAsia="Times New Roman" w:cs="Arial"/>
                <w:color w:val="000000"/>
                <w:sz w:val="18"/>
                <w:szCs w:val="18"/>
              </w:rPr>
              <w:t>l Health Care Needs (2009-2010)</w:t>
            </w:r>
          </w:p>
        </w:tc>
        <w:tc>
          <w:tcPr>
            <w:tcW w:w="1350" w:type="dxa"/>
          </w:tcPr>
          <w:p w:rsidR="00EA395B" w:rsidRDefault="00EA395B" w:rsidP="00BB0D96">
            <w:pPr>
              <w:rPr>
                <w:rFonts w:eastAsia="Times New Roman" w:cs="Arial"/>
                <w:b/>
                <w:color w:val="000000"/>
              </w:rPr>
            </w:pPr>
          </w:p>
        </w:tc>
        <w:tc>
          <w:tcPr>
            <w:tcW w:w="1278" w:type="dxa"/>
          </w:tcPr>
          <w:p w:rsidR="00EA395B" w:rsidRDefault="00EA395B" w:rsidP="00BB0D96">
            <w:pPr>
              <w:rPr>
                <w:rFonts w:eastAsia="Times New Roman" w:cs="Arial"/>
                <w:b/>
                <w:color w:val="000000"/>
              </w:rPr>
            </w:pPr>
          </w:p>
        </w:tc>
      </w:tr>
      <w:tr w:rsidR="00EA395B" w:rsidTr="00EA395B">
        <w:tc>
          <w:tcPr>
            <w:tcW w:w="6948" w:type="dxa"/>
            <w:shd w:val="clear" w:color="auto" w:fill="BFBFBF" w:themeFill="background1" w:themeFillShade="BF"/>
          </w:tcPr>
          <w:p w:rsidR="00EA395B" w:rsidRPr="004F7A91" w:rsidRDefault="00EA395B" w:rsidP="00BB0D96">
            <w:pPr>
              <w:rPr>
                <w:rFonts w:eastAsia="Times New Roman" w:cs="Arial"/>
                <w:b/>
                <w:color w:val="000000"/>
                <w:sz w:val="18"/>
                <w:szCs w:val="18"/>
              </w:rPr>
            </w:pPr>
            <w:r w:rsidRPr="004F7A91">
              <w:rPr>
                <w:b/>
              </w:rPr>
              <w:t>Employer Size</w:t>
            </w:r>
            <w:r>
              <w:rPr>
                <w:b/>
              </w:rPr>
              <w:t xml:space="preserve"> - </w:t>
            </w:r>
            <w:r w:rsidRPr="00F6227A">
              <w:rPr>
                <w:rFonts w:eastAsia="Times New Roman" w:cs="Arial"/>
                <w:b/>
                <w:color w:val="000000"/>
                <w:sz w:val="20"/>
                <w:szCs w:val="20"/>
              </w:rPr>
              <w:t>Distribution of employers, by number of employees</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&lt;20</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89.4%</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89.8%</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20-99</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6.4%</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8.5%</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100+</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4.2%</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1.7%</w:t>
            </w:r>
          </w:p>
        </w:tc>
      </w:tr>
      <w:tr w:rsidR="00EA395B" w:rsidTr="00EA395B">
        <w:tc>
          <w:tcPr>
            <w:tcW w:w="6948" w:type="dxa"/>
          </w:tcPr>
          <w:p w:rsidR="00EA395B" w:rsidRPr="00526D5B" w:rsidRDefault="00EA395B" w:rsidP="00BB0D96">
            <w:pPr>
              <w:rPr>
                <w:rFonts w:eastAsia="Times New Roman" w:cs="Arial"/>
                <w:color w:val="000000"/>
                <w:sz w:val="18"/>
                <w:szCs w:val="18"/>
              </w:rPr>
            </w:pPr>
            <w:r w:rsidRPr="003E4575">
              <w:rPr>
                <w:rFonts w:eastAsia="Times New Roman" w:cs="Arial"/>
                <w:color w:val="000000"/>
                <w:sz w:val="18"/>
                <w:szCs w:val="18"/>
                <w:u w:val="single"/>
              </w:rPr>
              <w:lastRenderedPageBreak/>
              <w:t>Source</w:t>
            </w:r>
            <w:r w:rsidRPr="003E4575">
              <w:rPr>
                <w:rFonts w:eastAsia="Times New Roman" w:cs="Arial"/>
                <w:color w:val="000000"/>
                <w:sz w:val="18"/>
                <w:szCs w:val="18"/>
              </w:rPr>
              <w:t xml:space="preserve">: U.S. Census Bureau </w:t>
            </w:r>
            <w:r>
              <w:rPr>
                <w:rFonts w:eastAsia="Times New Roman" w:cs="Arial"/>
                <w:color w:val="000000"/>
                <w:sz w:val="18"/>
                <w:szCs w:val="18"/>
              </w:rPr>
              <w:t>(2011)</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6F4AA7" w:rsidRDefault="00EA395B" w:rsidP="00BB0D96">
            <w:pPr>
              <w:rPr>
                <w:rFonts w:eastAsia="Times New Roman" w:cs="Arial"/>
                <w:b/>
                <w:color w:val="000000"/>
                <w:sz w:val="18"/>
                <w:szCs w:val="18"/>
              </w:rPr>
            </w:pPr>
            <w:r w:rsidRPr="006F4AA7">
              <w:rPr>
                <w:b/>
              </w:rPr>
              <w:t>Employer-Sponsored Health Insurance</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6F4AA7" w:rsidRDefault="00EA395B" w:rsidP="00BB0D96">
            <w:pPr>
              <w:rPr>
                <w:rFonts w:eastAsia="Times New Roman" w:cs="Arial"/>
                <w:b/>
                <w:color w:val="000000"/>
              </w:rPr>
            </w:pPr>
            <w:r w:rsidRPr="006F4AA7">
              <w:rPr>
                <w:rFonts w:eastAsia="Times New Roman" w:cs="Arial"/>
                <w:b/>
                <w:color w:val="000000"/>
              </w:rPr>
              <w:t>Percentage of private sector employers offering health insurance</w:t>
            </w:r>
          </w:p>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Kaiser Family Foundation (2012)</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39.0%</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50.1%</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Percentage of private sector employers offering health insurance, by number of employees</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&lt;50</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28.6%</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35.2%</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50+</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95.6%</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95.9%</w:t>
            </w:r>
          </w:p>
        </w:tc>
      </w:tr>
      <w:tr w:rsidR="00EA395B" w:rsidTr="00EA395B">
        <w:tc>
          <w:tcPr>
            <w:tcW w:w="6948" w:type="dxa"/>
          </w:tcPr>
          <w:p w:rsidR="00EA395B" w:rsidRPr="006F4AA7" w:rsidRDefault="00EA395B" w:rsidP="00BB0D96">
            <w:pPr>
              <w:rPr>
                <w:rFonts w:eastAsia="Times New Roman" w:cs="Arial"/>
                <w:color w:val="000000"/>
                <w:sz w:val="18"/>
                <w:szCs w:val="18"/>
              </w:rPr>
            </w:pPr>
            <w:r w:rsidRPr="003E4575">
              <w:rPr>
                <w:rFonts w:eastAsia="Times New Roman" w:cs="Arial"/>
                <w:color w:val="000000"/>
                <w:sz w:val="18"/>
                <w:szCs w:val="18"/>
              </w:rPr>
              <w:t>Source: Kaiser Family Foundation (2012)</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6F4AA7" w:rsidRDefault="00EA395B" w:rsidP="00BB0D96">
            <w:pPr>
              <w:rPr>
                <w:rFonts w:eastAsia="Times New Roman" w:cs="Arial"/>
                <w:b/>
                <w:color w:val="000000"/>
                <w:sz w:val="20"/>
                <w:szCs w:val="20"/>
              </w:rPr>
            </w:pPr>
            <w:r w:rsidRPr="004C7D8F">
              <w:rPr>
                <w:b/>
                <w:color w:val="000000" w:themeColor="text1"/>
              </w:rPr>
              <w:t>Medicaid Eligibility</w:t>
            </w:r>
            <w:r>
              <w:rPr>
                <w:color w:val="000000" w:themeColor="text1"/>
              </w:rPr>
              <w:t xml:space="preserve"> - </w:t>
            </w:r>
            <w:r w:rsidRPr="00F6227A">
              <w:rPr>
                <w:rFonts w:eastAsia="Times New Roman" w:cs="Arial"/>
                <w:b/>
                <w:color w:val="000000"/>
                <w:sz w:val="20"/>
                <w:szCs w:val="20"/>
              </w:rPr>
              <w:t>Maximum allowed income for Medicaid enrollment, as a percentage of the fed</w:t>
            </w:r>
            <w:r>
              <w:rPr>
                <w:rFonts w:eastAsia="Times New Roman" w:cs="Arial"/>
                <w:b/>
                <w:color w:val="000000"/>
                <w:sz w:val="20"/>
                <w:szCs w:val="20"/>
              </w:rPr>
              <w:t xml:space="preserve">eral poverty </w:t>
            </w:r>
            <w:r w:rsidRPr="00F6227A">
              <w:rPr>
                <w:rFonts w:eastAsia="Times New Roman" w:cs="Arial"/>
                <w:b/>
                <w:color w:val="000000"/>
                <w:sz w:val="20"/>
                <w:szCs w:val="20"/>
              </w:rPr>
              <w:t>level, compared to the federal minimum requirement</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Pregnant women</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164%</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Required minimum: 185%</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Children, aged 0-1</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164%</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Required minimum: 133%</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Children, aged 1-5</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148%</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Required minimum: 133%</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Children, aged 6-18</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148%</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Required minimum: 133%</w:t>
            </w:r>
          </w:p>
        </w:tc>
      </w:tr>
      <w:tr w:rsidR="00EA395B" w:rsidTr="00EA395B">
        <w:tc>
          <w:tcPr>
            <w:tcW w:w="6948" w:type="dxa"/>
          </w:tcPr>
          <w:p w:rsidR="00EA395B" w:rsidRPr="003E4575" w:rsidRDefault="00EA395B" w:rsidP="00BB0D96">
            <w:pPr>
              <w:rPr>
                <w:rFonts w:eastAsia="Times New Roman" w:cs="Arial"/>
                <w:color w:val="000000"/>
                <w:sz w:val="18"/>
                <w:szCs w:val="18"/>
              </w:rPr>
            </w:pPr>
            <w:r w:rsidRPr="00F6227A">
              <w:rPr>
                <w:rFonts w:eastAsia="Times New Roman" w:cs="Arial"/>
                <w:color w:val="000000"/>
                <w:sz w:val="18"/>
                <w:szCs w:val="18"/>
              </w:rPr>
              <w:t>Source: Kaiser Family Foundation (2013)</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6E42E1" w:rsidRDefault="00EA395B" w:rsidP="00BB0D96">
            <w:pPr>
              <w:rPr>
                <w:b/>
              </w:rPr>
            </w:pPr>
            <w:r w:rsidRPr="006E42E1">
              <w:rPr>
                <w:b/>
              </w:rPr>
              <w:t>Federal Match for Medicaid</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Federal Medical Assistance Percentage (FMAP)</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66.00%</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50.00%</w:t>
            </w:r>
          </w:p>
        </w:tc>
      </w:tr>
      <w:tr w:rsidR="00EA395B" w:rsidTr="00EA395B">
        <w:tc>
          <w:tcPr>
            <w:tcW w:w="6948" w:type="dxa"/>
          </w:tcPr>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Kaiser Family Foundation (2013)</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6F4AA7" w:rsidRDefault="00EA395B" w:rsidP="00BB0D96">
            <w:pPr>
              <w:rPr>
                <w:rFonts w:eastAsia="Times New Roman" w:cs="Arial"/>
                <w:b/>
                <w:color w:val="000000"/>
              </w:rPr>
            </w:pPr>
            <w:r w:rsidRPr="006F4AA7">
              <w:rPr>
                <w:b/>
              </w:rPr>
              <w:t>Education Expenditures</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Combined local, state and federal per pupil education expenditures</w:t>
            </w:r>
          </w:p>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U.S. Dept. of Education (2011)</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$10,986</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$11,339</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Federal per pupil IDEA expenditures for children aged 3-21 in Special Education</w:t>
            </w:r>
          </w:p>
          <w:p w:rsidR="00EA395B" w:rsidRPr="003E4575" w:rsidRDefault="00EA395B" w:rsidP="00BB0D96">
            <w:pPr>
              <w:rPr>
                <w:rFonts w:eastAsia="Times New Roman" w:cs="Arial"/>
                <w:color w:val="000000"/>
                <w:sz w:val="18"/>
                <w:szCs w:val="18"/>
              </w:rPr>
            </w:pPr>
            <w:r w:rsidRPr="003365CA">
              <w:rPr>
                <w:rFonts w:eastAsia="Times New Roman" w:cs="Arial"/>
                <w:color w:val="000000"/>
                <w:sz w:val="18"/>
                <w:szCs w:val="18"/>
              </w:rPr>
              <w:t>Source: U.S. Dept. of Education, Office of Special Education and Rehabilitative Services (2010)</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$2,146</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$1,774</w:t>
            </w:r>
          </w:p>
        </w:tc>
      </w:tr>
    </w:tbl>
    <w:p w:rsidR="00EA395B" w:rsidRPr="003E4575" w:rsidRDefault="00EA395B" w:rsidP="00EA395B">
      <w:pPr>
        <w:spacing w:after="360" w:line="240" w:lineRule="auto"/>
        <w:rPr>
          <w:rFonts w:eastAsia="Times New Roman" w:cs="Arial"/>
          <w:color w:val="000000"/>
          <w:sz w:val="18"/>
          <w:szCs w:val="18"/>
        </w:rPr>
      </w:pPr>
    </w:p>
    <w:tbl>
      <w:tblPr>
        <w:tblStyle w:val="TableGrid"/>
        <w:tblW w:w="0" w:type="auto"/>
        <w:tblCellMar>
          <w:top w:w="29" w:type="dxa"/>
          <w:left w:w="115" w:type="dxa"/>
          <w:bottom w:w="29" w:type="dxa"/>
          <w:right w:w="115" w:type="dxa"/>
        </w:tblCellMar>
        <w:tblLook w:val="0620" w:firstRow="1" w:lastRow="0" w:firstColumn="0" w:lastColumn="0" w:noHBand="1" w:noVBand="1"/>
        <w:tblCaption w:val="Table: Child Health Services"/>
        <w:tblDescription w:val="Montana and US statistics for: Health Care, Early INtervention Eligibility, Mental Health, Oral Health and Foster Care"/>
      </w:tblPr>
      <w:tblGrid>
        <w:gridCol w:w="6948"/>
        <w:gridCol w:w="1350"/>
        <w:gridCol w:w="1278"/>
      </w:tblGrid>
      <w:tr w:rsidR="00EA395B" w:rsidTr="00EA395B">
        <w:trPr>
          <w:tblHeader/>
        </w:trPr>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B036E3" w:rsidRDefault="00EA395B" w:rsidP="00172EA9">
            <w:pPr>
              <w:pStyle w:val="Heading2"/>
              <w:jc w:val="left"/>
              <w:outlineLvl w:val="1"/>
              <w:rPr>
                <w:rFonts w:asciiTheme="minorHAnsi" w:eastAsia="Times New Roman" w:hAnsiTheme="minorHAnsi"/>
                <w:color w:val="000000"/>
                <w:sz w:val="28"/>
                <w:szCs w:val="28"/>
              </w:rPr>
            </w:pPr>
            <w:bookmarkStart w:id="25" w:name="_Toc403370680"/>
            <w:r w:rsidRPr="00B036E3">
              <w:rPr>
                <w:rFonts w:asciiTheme="minorHAnsi" w:hAnsiTheme="minorHAnsi"/>
                <w:color w:val="FFFFFF" w:themeColor="background1"/>
                <w:sz w:val="28"/>
                <w:szCs w:val="28"/>
              </w:rPr>
              <w:t xml:space="preserve">Table: </w:t>
            </w:r>
            <w:r w:rsidRPr="00B036E3">
              <w:rPr>
                <w:rFonts w:asciiTheme="minorHAnsi" w:eastAsia="Times New Roman" w:hAnsiTheme="minorHAnsi"/>
                <w:color w:val="FFFFFF" w:themeColor="background1"/>
                <w:sz w:val="28"/>
                <w:szCs w:val="28"/>
              </w:rPr>
              <w:t>CHILD HEALTH SERVICES</w:t>
            </w:r>
            <w:bookmarkEnd w:id="25"/>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97081C" w:rsidRDefault="00EA395B" w:rsidP="00BB0D96">
            <w:pPr>
              <w:rPr>
                <w:b/>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97081C" w:rsidRDefault="00EA395B" w:rsidP="00BB0D96">
            <w:pPr>
              <w:rPr>
                <w:b/>
              </w:rPr>
            </w:pPr>
          </w:p>
        </w:tc>
      </w:tr>
      <w:tr w:rsidR="00EA395B" w:rsidTr="00EA395B">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D96EAA" w:rsidRDefault="00EA395B" w:rsidP="00BB0D96">
            <w:pPr>
              <w:rPr>
                <w:b/>
              </w:rPr>
            </w:pPr>
            <w:r>
              <w:rPr>
                <w:b/>
              </w:rPr>
              <w:t>Health Care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Montana</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US</w:t>
            </w:r>
          </w:p>
        </w:tc>
      </w:tr>
      <w:tr w:rsidR="00EA395B" w:rsidTr="00EA395B">
        <w:tc>
          <w:tcPr>
            <w:tcW w:w="6948" w:type="dxa"/>
            <w:tcBorders>
              <w:top w:val="single" w:sz="4" w:space="0" w:color="000000" w:themeColor="text1"/>
            </w:tcBorders>
          </w:tcPr>
          <w:p w:rsidR="00EA395B" w:rsidRPr="00BC5DF6" w:rsidRDefault="00EA395B" w:rsidP="00BB0D96">
            <w:pPr>
              <w:rPr>
                <w:rFonts w:eastAsia="Times New Roman" w:cs="Arial"/>
                <w:b/>
                <w:color w:val="000000"/>
              </w:rPr>
            </w:pPr>
            <w:r w:rsidRPr="00BC5DF6">
              <w:rPr>
                <w:rFonts w:eastAsia="Times New Roman" w:cs="Arial"/>
                <w:b/>
                <w:color w:val="000000"/>
              </w:rPr>
              <w:t>Number of children’s hospitals</w:t>
            </w:r>
          </w:p>
          <w:p w:rsidR="00EA395B" w:rsidRPr="0097081C" w:rsidRDefault="00EA395B" w:rsidP="00BB0D96">
            <w:pPr>
              <w:rPr>
                <w:b/>
              </w:rPr>
            </w:pPr>
            <w:r w:rsidRPr="003E4575">
              <w:rPr>
                <w:rFonts w:eastAsia="Times New Roman" w:cs="Arial"/>
                <w:color w:val="000000"/>
                <w:sz w:val="18"/>
                <w:szCs w:val="18"/>
              </w:rPr>
              <w:t>Source: National Association of Children's Hospitals and Related Institutions</w:t>
            </w:r>
          </w:p>
        </w:tc>
        <w:tc>
          <w:tcPr>
            <w:tcW w:w="1350" w:type="dxa"/>
            <w:tcBorders>
              <w:top w:val="single" w:sz="4" w:space="0" w:color="000000" w:themeColor="text1"/>
            </w:tcBorders>
          </w:tcPr>
          <w:p w:rsidR="00EA395B" w:rsidRDefault="00EA395B" w:rsidP="00BB0D96">
            <w:r w:rsidRPr="00F6227A">
              <w:rPr>
                <w:rFonts w:eastAsia="Times New Roman" w:cs="Arial"/>
                <w:b/>
                <w:color w:val="000000"/>
                <w:sz w:val="20"/>
                <w:szCs w:val="20"/>
              </w:rPr>
              <w:t>0</w:t>
            </w:r>
          </w:p>
        </w:tc>
        <w:tc>
          <w:tcPr>
            <w:tcW w:w="1278" w:type="dxa"/>
            <w:tcBorders>
              <w:top w:val="single" w:sz="4" w:space="0" w:color="000000" w:themeColor="text1"/>
            </w:tcBorders>
          </w:tcPr>
          <w:p w:rsidR="00EA395B" w:rsidRDefault="00EA395B" w:rsidP="00BB0D96">
            <w:r w:rsidRPr="00F6227A">
              <w:rPr>
                <w:rFonts w:eastAsia="Times New Roman" w:cs="Arial"/>
                <w:b/>
                <w:color w:val="000000"/>
                <w:sz w:val="20"/>
                <w:szCs w:val="20"/>
              </w:rPr>
              <w:t>234</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Number of pediatricians per 1,000 children</w:t>
            </w:r>
          </w:p>
          <w:p w:rsidR="00EA395B" w:rsidRDefault="00EA395B" w:rsidP="00BB0D96">
            <w:r w:rsidRPr="003E4575">
              <w:rPr>
                <w:rFonts w:eastAsia="Times New Roman" w:cs="Arial"/>
                <w:color w:val="000000"/>
                <w:sz w:val="18"/>
                <w:szCs w:val="18"/>
              </w:rPr>
              <w:lastRenderedPageBreak/>
              <w:t>Source: American Board of Medical Specialties (2012)</w:t>
            </w:r>
          </w:p>
        </w:tc>
        <w:tc>
          <w:tcPr>
            <w:tcW w:w="1350" w:type="dxa"/>
          </w:tcPr>
          <w:p w:rsidR="00EA395B" w:rsidRDefault="00EA395B" w:rsidP="00BB0D96">
            <w:r w:rsidRPr="00F6227A">
              <w:rPr>
                <w:rFonts w:eastAsia="Times New Roman" w:cs="Arial"/>
                <w:b/>
                <w:color w:val="000000"/>
                <w:sz w:val="20"/>
                <w:szCs w:val="20"/>
              </w:rPr>
              <w:lastRenderedPageBreak/>
              <w:t>0.69</w:t>
            </w:r>
          </w:p>
        </w:tc>
        <w:tc>
          <w:tcPr>
            <w:tcW w:w="1278" w:type="dxa"/>
          </w:tcPr>
          <w:p w:rsidR="00EA395B" w:rsidRDefault="00EA395B" w:rsidP="00BB0D96">
            <w:r w:rsidRPr="00F6227A">
              <w:rPr>
                <w:rFonts w:eastAsia="Times New Roman" w:cs="Arial"/>
                <w:b/>
                <w:color w:val="000000"/>
                <w:sz w:val="20"/>
                <w:szCs w:val="20"/>
              </w:rPr>
              <w:t>1.05</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lastRenderedPageBreak/>
              <w:t>Number of family practitioners</w:t>
            </w:r>
          </w:p>
          <w:p w:rsidR="00EA395B" w:rsidRPr="00D96EAA" w:rsidRDefault="00EA395B" w:rsidP="00BB0D96">
            <w:pPr>
              <w:rPr>
                <w:rFonts w:eastAsia="Times New Roman" w:cs="Arial"/>
                <w:color w:val="000000"/>
                <w:sz w:val="18"/>
                <w:szCs w:val="18"/>
              </w:rPr>
            </w:pPr>
            <w:r w:rsidRPr="000F08B9">
              <w:rPr>
                <w:rFonts w:eastAsia="Times New Roman" w:cs="Arial"/>
                <w:color w:val="000000"/>
                <w:sz w:val="18"/>
                <w:szCs w:val="18"/>
              </w:rPr>
              <w:t>Source: American Board of Medical Specialties (2012)</w:t>
            </w:r>
          </w:p>
        </w:tc>
        <w:tc>
          <w:tcPr>
            <w:tcW w:w="1350" w:type="dxa"/>
          </w:tcPr>
          <w:p w:rsidR="00EA395B" w:rsidRPr="00F6227A" w:rsidRDefault="00EA395B" w:rsidP="00BB0D96">
            <w:pPr>
              <w:rPr>
                <w:rFonts w:eastAsia="Times New Roman" w:cs="Arial"/>
                <w:b/>
                <w:color w:val="000000"/>
              </w:rPr>
            </w:pPr>
            <w:r w:rsidRPr="00F6227A">
              <w:rPr>
                <w:rFonts w:eastAsia="Times New Roman" w:cs="Arial"/>
                <w:b/>
                <w:color w:val="000000"/>
                <w:sz w:val="20"/>
                <w:szCs w:val="20"/>
              </w:rPr>
              <w:t>440</w:t>
            </w:r>
          </w:p>
        </w:tc>
        <w:tc>
          <w:tcPr>
            <w:tcW w:w="1278" w:type="dxa"/>
          </w:tcPr>
          <w:p w:rsidR="00EA395B" w:rsidRPr="00F6227A" w:rsidRDefault="00EA395B" w:rsidP="00BB0D96">
            <w:pPr>
              <w:rPr>
                <w:rFonts w:eastAsia="Times New Roman" w:cs="Arial"/>
                <w:b/>
                <w:color w:val="000000"/>
              </w:rPr>
            </w:pPr>
            <w:r w:rsidRPr="00F6227A">
              <w:rPr>
                <w:rFonts w:eastAsia="Times New Roman" w:cs="Arial"/>
                <w:b/>
                <w:color w:val="000000"/>
                <w:sz w:val="20"/>
                <w:szCs w:val="20"/>
              </w:rPr>
              <w:t>82,387</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Number of child and adolescent psychiatrists per 1,000 children</w:t>
            </w:r>
          </w:p>
          <w:p w:rsidR="00EA395B" w:rsidRPr="00F6227A" w:rsidRDefault="00EA395B" w:rsidP="00BB0D96">
            <w:pPr>
              <w:rPr>
                <w:rFonts w:eastAsia="Times New Roman" w:cs="Arial"/>
                <w:b/>
                <w:color w:val="000000"/>
                <w:sz w:val="20"/>
                <w:szCs w:val="20"/>
              </w:rPr>
            </w:pPr>
            <w:r w:rsidRPr="00F6227A">
              <w:rPr>
                <w:rFonts w:eastAsia="Times New Roman" w:cs="Arial"/>
                <w:color w:val="000000"/>
                <w:sz w:val="18"/>
                <w:szCs w:val="18"/>
              </w:rPr>
              <w:t>Source: American Board of Medical Specialties (2012)</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0.06</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0.06</w:t>
            </w:r>
          </w:p>
        </w:tc>
      </w:tr>
      <w:tr w:rsidR="00EA395B" w:rsidTr="00EA395B">
        <w:tc>
          <w:tcPr>
            <w:tcW w:w="6948" w:type="dxa"/>
            <w:shd w:val="clear" w:color="auto" w:fill="BFBFBF" w:themeFill="background1" w:themeFillShade="BF"/>
          </w:tcPr>
          <w:p w:rsidR="00EA395B" w:rsidRPr="006715A5" w:rsidRDefault="00EA395B" w:rsidP="00BB0D96">
            <w:pPr>
              <w:rPr>
                <w:b/>
              </w:rPr>
            </w:pPr>
            <w:r w:rsidRPr="006715A5">
              <w:rPr>
                <w:b/>
              </w:rPr>
              <w:t>Early Intervention Eligibility</w:t>
            </w:r>
          </w:p>
        </w:tc>
        <w:tc>
          <w:tcPr>
            <w:tcW w:w="1350" w:type="dxa"/>
            <w:shd w:val="clear" w:color="auto" w:fill="BFBFBF" w:themeFill="background1" w:themeFillShade="BF"/>
          </w:tcPr>
          <w:p w:rsidR="00EA395B" w:rsidRPr="0097081C" w:rsidRDefault="00EA395B" w:rsidP="00BB0D96">
            <w:pPr>
              <w:rPr>
                <w:b/>
              </w:rPr>
            </w:pPr>
            <w:r w:rsidRPr="0097081C">
              <w:rPr>
                <w:b/>
              </w:rPr>
              <w:t>Montana</w:t>
            </w:r>
          </w:p>
        </w:tc>
        <w:tc>
          <w:tcPr>
            <w:tcW w:w="1278" w:type="dxa"/>
            <w:shd w:val="clear" w:color="auto" w:fill="BFBFBF" w:themeFill="background1" w:themeFillShade="BF"/>
          </w:tcPr>
          <w:p w:rsidR="00EA395B" w:rsidRPr="0097081C" w:rsidRDefault="00EA395B" w:rsidP="00BB0D96">
            <w:pPr>
              <w:rPr>
                <w:b/>
              </w:rPr>
            </w:pPr>
            <w:r w:rsidRPr="0097081C">
              <w:rPr>
                <w:b/>
              </w:rPr>
              <w:t>US</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 xml:space="preserve">Eligibility for Early Intervention services includes infants and toddlers </w:t>
            </w:r>
          </w:p>
          <w:p w:rsidR="00EA395B" w:rsidRPr="004F7A91" w:rsidRDefault="00EA395B" w:rsidP="00BB0D96">
            <w:pPr>
              <w:rPr>
                <w:b/>
              </w:rPr>
            </w:pPr>
            <w:r w:rsidRPr="00BC5DF6">
              <w:rPr>
                <w:rFonts w:eastAsia="Times New Roman" w:cs="Arial"/>
                <w:b/>
                <w:color w:val="000000"/>
              </w:rPr>
              <w:t>“at risk” of developmental delay</w:t>
            </w:r>
          </w:p>
        </w:tc>
        <w:tc>
          <w:tcPr>
            <w:tcW w:w="1350" w:type="dxa"/>
          </w:tcPr>
          <w:p w:rsidR="00EA395B" w:rsidRDefault="00EA395B" w:rsidP="00BB0D96">
            <w:r w:rsidRPr="00F6227A">
              <w:rPr>
                <w:rFonts w:eastAsia="Times New Roman" w:cs="Arial"/>
                <w:b/>
                <w:color w:val="000000"/>
                <w:sz w:val="20"/>
                <w:szCs w:val="20"/>
              </w:rPr>
              <w:t>No</w:t>
            </w:r>
          </w:p>
        </w:tc>
        <w:tc>
          <w:tcPr>
            <w:tcW w:w="1278" w:type="dxa"/>
          </w:tcPr>
          <w:p w:rsidR="00EA395B" w:rsidRDefault="00EA395B" w:rsidP="00BB0D96">
            <w:r w:rsidRPr="00F6227A">
              <w:rPr>
                <w:rFonts w:eastAsia="Times New Roman" w:cs="Arial"/>
                <w:b/>
                <w:color w:val="000000"/>
                <w:sz w:val="20"/>
                <w:szCs w:val="20"/>
              </w:rPr>
              <w:t>Yes=6</w:t>
            </w:r>
          </w:p>
        </w:tc>
      </w:tr>
      <w:tr w:rsidR="00EA395B" w:rsidTr="00EA395B">
        <w:tc>
          <w:tcPr>
            <w:tcW w:w="6948" w:type="dxa"/>
          </w:tcPr>
          <w:p w:rsidR="00EA395B" w:rsidRPr="004F7A91" w:rsidRDefault="00EA395B" w:rsidP="00BB0D96">
            <w:pPr>
              <w:rPr>
                <w:rFonts w:eastAsia="Times New Roman" w:cs="Arial"/>
                <w:color w:val="000000"/>
                <w:sz w:val="18"/>
                <w:szCs w:val="18"/>
              </w:rPr>
            </w:pPr>
            <w:r w:rsidRPr="003E4575">
              <w:rPr>
                <w:rFonts w:eastAsia="Times New Roman" w:cs="Arial"/>
                <w:color w:val="000000"/>
                <w:sz w:val="18"/>
                <w:szCs w:val="18"/>
              </w:rPr>
              <w:t>Source: Early Childhood Technical Assistance Center (2012)</w:t>
            </w:r>
          </w:p>
        </w:tc>
        <w:tc>
          <w:tcPr>
            <w:tcW w:w="1350" w:type="dxa"/>
          </w:tcPr>
          <w:p w:rsidR="00EA395B" w:rsidRDefault="00EA395B" w:rsidP="00BB0D96"/>
        </w:tc>
        <w:tc>
          <w:tcPr>
            <w:tcW w:w="1278" w:type="dxa"/>
          </w:tcPr>
          <w:p w:rsidR="00EA395B" w:rsidRDefault="00EA395B" w:rsidP="00BB0D96"/>
        </w:tc>
      </w:tr>
      <w:tr w:rsidR="00EA395B" w:rsidTr="00EA395B">
        <w:tc>
          <w:tcPr>
            <w:tcW w:w="6948" w:type="dxa"/>
            <w:shd w:val="clear" w:color="auto" w:fill="BFBFBF" w:themeFill="background1" w:themeFillShade="BF"/>
          </w:tcPr>
          <w:p w:rsidR="00EA395B" w:rsidRPr="00E439B5" w:rsidRDefault="00EA395B" w:rsidP="00BB0D96">
            <w:pPr>
              <w:rPr>
                <w:b/>
              </w:rPr>
            </w:pPr>
            <w:r w:rsidRPr="00E439B5">
              <w:rPr>
                <w:b/>
              </w:rPr>
              <w:t>Mental Health</w:t>
            </w:r>
          </w:p>
        </w:tc>
        <w:tc>
          <w:tcPr>
            <w:tcW w:w="1350" w:type="dxa"/>
            <w:shd w:val="clear" w:color="auto" w:fill="BFBFBF" w:themeFill="background1" w:themeFillShade="BF"/>
          </w:tcPr>
          <w:p w:rsidR="00EA395B" w:rsidRPr="0097081C" w:rsidRDefault="00EA395B" w:rsidP="00BB0D96">
            <w:pPr>
              <w:rPr>
                <w:b/>
              </w:rPr>
            </w:pPr>
            <w:r w:rsidRPr="0097081C">
              <w:rPr>
                <w:b/>
              </w:rPr>
              <w:t>Montana</w:t>
            </w:r>
          </w:p>
        </w:tc>
        <w:tc>
          <w:tcPr>
            <w:tcW w:w="1278" w:type="dxa"/>
            <w:shd w:val="clear" w:color="auto" w:fill="BFBFBF" w:themeFill="background1" w:themeFillShade="BF"/>
          </w:tcPr>
          <w:p w:rsidR="00EA395B" w:rsidRPr="00E439B5" w:rsidRDefault="00EA395B" w:rsidP="00BB0D96">
            <w:pPr>
              <w:rPr>
                <w:b/>
              </w:rPr>
            </w:pPr>
            <w:r w:rsidRPr="00E439B5">
              <w:rPr>
                <w:b/>
              </w:rPr>
              <w:t>US</w:t>
            </w:r>
          </w:p>
        </w:tc>
      </w:tr>
      <w:tr w:rsidR="00EA395B" w:rsidTr="00EA395B">
        <w:tc>
          <w:tcPr>
            <w:tcW w:w="6948" w:type="dxa"/>
          </w:tcPr>
          <w:p w:rsidR="00EA395B" w:rsidRPr="00BC5DF6" w:rsidRDefault="00EA395B" w:rsidP="00BB0D96">
            <w:r w:rsidRPr="00BC5DF6">
              <w:rPr>
                <w:rFonts w:eastAsia="Times New Roman" w:cs="Arial"/>
                <w:b/>
                <w:color w:val="000000"/>
              </w:rPr>
              <w:t>Number of children served by state mental health authority, per 1,000 children</w:t>
            </w:r>
          </w:p>
        </w:tc>
        <w:tc>
          <w:tcPr>
            <w:tcW w:w="1350" w:type="dxa"/>
          </w:tcPr>
          <w:p w:rsidR="00EA395B" w:rsidRDefault="00EA395B" w:rsidP="00BB0D96"/>
        </w:tc>
        <w:tc>
          <w:tcPr>
            <w:tcW w:w="1278" w:type="dxa"/>
          </w:tcPr>
          <w:p w:rsidR="00EA395B" w:rsidRDefault="00EA395B" w:rsidP="00BB0D96"/>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Aged 0-12</w:t>
            </w:r>
          </w:p>
        </w:tc>
        <w:tc>
          <w:tcPr>
            <w:tcW w:w="1350" w:type="dxa"/>
          </w:tcPr>
          <w:p w:rsidR="00EA395B" w:rsidRDefault="00106B97" w:rsidP="00BB0D96">
            <w:pPr>
              <w:rPr>
                <w:rFonts w:eastAsia="Times New Roman" w:cs="Arial"/>
                <w:b/>
                <w:color w:val="000000"/>
              </w:rPr>
            </w:pPr>
            <w:r w:rsidRPr="00F6227A">
              <w:rPr>
                <w:rFonts w:eastAsia="Times New Roman" w:cs="Arial"/>
                <w:b/>
                <w:color w:val="000000"/>
                <w:sz w:val="20"/>
                <w:szCs w:val="20"/>
              </w:rPr>
              <w:t>54.6</w:t>
            </w:r>
          </w:p>
        </w:tc>
        <w:tc>
          <w:tcPr>
            <w:tcW w:w="1278" w:type="dxa"/>
          </w:tcPr>
          <w:p w:rsidR="00EA395B" w:rsidRDefault="00106B97" w:rsidP="00BB0D96">
            <w:pPr>
              <w:rPr>
                <w:rFonts w:eastAsia="Times New Roman" w:cs="Arial"/>
                <w:b/>
                <w:color w:val="000000"/>
              </w:rPr>
            </w:pPr>
            <w:r w:rsidRPr="00F6227A">
              <w:rPr>
                <w:rFonts w:eastAsia="Times New Roman" w:cs="Arial"/>
                <w:b/>
                <w:color w:val="000000"/>
                <w:sz w:val="20"/>
                <w:szCs w:val="20"/>
              </w:rPr>
              <w:t>21.4</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Aged 13-17</w:t>
            </w:r>
          </w:p>
        </w:tc>
        <w:tc>
          <w:tcPr>
            <w:tcW w:w="1350" w:type="dxa"/>
          </w:tcPr>
          <w:p w:rsidR="00EA395B" w:rsidRDefault="00106B97" w:rsidP="00BB0D96">
            <w:pPr>
              <w:rPr>
                <w:rFonts w:eastAsia="Times New Roman" w:cs="Arial"/>
                <w:b/>
                <w:color w:val="000000"/>
              </w:rPr>
            </w:pPr>
            <w:r w:rsidRPr="00F6227A">
              <w:rPr>
                <w:rFonts w:eastAsia="Times New Roman" w:cs="Arial"/>
                <w:b/>
                <w:color w:val="000000"/>
                <w:sz w:val="20"/>
                <w:szCs w:val="20"/>
              </w:rPr>
              <w:t>75.5</w:t>
            </w:r>
          </w:p>
        </w:tc>
        <w:tc>
          <w:tcPr>
            <w:tcW w:w="1278" w:type="dxa"/>
          </w:tcPr>
          <w:p w:rsidR="00EA395B" w:rsidRDefault="00106B97" w:rsidP="00BB0D96">
            <w:pPr>
              <w:rPr>
                <w:rFonts w:eastAsia="Times New Roman" w:cs="Arial"/>
                <w:b/>
                <w:color w:val="000000"/>
              </w:rPr>
            </w:pPr>
            <w:r w:rsidRPr="00F6227A">
              <w:rPr>
                <w:rFonts w:eastAsia="Times New Roman" w:cs="Arial"/>
                <w:b/>
                <w:color w:val="000000"/>
                <w:sz w:val="20"/>
                <w:szCs w:val="20"/>
              </w:rPr>
              <w:t>41.2</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Aged 18-20</w:t>
            </w:r>
          </w:p>
        </w:tc>
        <w:tc>
          <w:tcPr>
            <w:tcW w:w="1350" w:type="dxa"/>
          </w:tcPr>
          <w:p w:rsidR="00EA395B" w:rsidRDefault="00106B97" w:rsidP="00BB0D96">
            <w:pPr>
              <w:rPr>
                <w:rFonts w:eastAsia="Times New Roman" w:cs="Arial"/>
                <w:b/>
                <w:color w:val="000000"/>
              </w:rPr>
            </w:pPr>
            <w:r w:rsidRPr="00F6227A">
              <w:rPr>
                <w:rFonts w:eastAsia="Times New Roman" w:cs="Arial"/>
                <w:b/>
                <w:color w:val="000000"/>
                <w:sz w:val="20"/>
                <w:szCs w:val="20"/>
              </w:rPr>
              <w:t>38.6</w:t>
            </w:r>
          </w:p>
        </w:tc>
        <w:tc>
          <w:tcPr>
            <w:tcW w:w="1278" w:type="dxa"/>
          </w:tcPr>
          <w:p w:rsidR="00EA395B" w:rsidRDefault="00106B97" w:rsidP="00BB0D96">
            <w:pPr>
              <w:rPr>
                <w:rFonts w:eastAsia="Times New Roman" w:cs="Arial"/>
                <w:b/>
                <w:color w:val="000000"/>
              </w:rPr>
            </w:pPr>
            <w:r w:rsidRPr="00F6227A">
              <w:rPr>
                <w:rFonts w:eastAsia="Times New Roman" w:cs="Arial"/>
                <w:b/>
                <w:color w:val="000000"/>
                <w:sz w:val="20"/>
                <w:szCs w:val="20"/>
              </w:rPr>
              <w:t>26.0</w:t>
            </w:r>
          </w:p>
        </w:tc>
      </w:tr>
      <w:tr w:rsidR="00EA395B" w:rsidTr="00EA395B">
        <w:tc>
          <w:tcPr>
            <w:tcW w:w="6948" w:type="dxa"/>
          </w:tcPr>
          <w:p w:rsidR="00EA395B" w:rsidRPr="004F7A91" w:rsidRDefault="00EA395B" w:rsidP="00BB0D96">
            <w:pPr>
              <w:rPr>
                <w:rFonts w:eastAsia="Times New Roman" w:cs="Arial"/>
                <w:color w:val="000000"/>
                <w:sz w:val="18"/>
                <w:szCs w:val="18"/>
              </w:rPr>
            </w:pPr>
            <w:r w:rsidRPr="003E4575">
              <w:rPr>
                <w:rFonts w:eastAsia="Times New Roman" w:cs="Arial"/>
                <w:color w:val="000000"/>
                <w:sz w:val="18"/>
                <w:szCs w:val="18"/>
              </w:rPr>
              <w:t>Source: SAMHSA National Mental Health Information Center (2012)</w:t>
            </w:r>
          </w:p>
        </w:tc>
        <w:tc>
          <w:tcPr>
            <w:tcW w:w="1350" w:type="dxa"/>
          </w:tcPr>
          <w:p w:rsidR="00EA395B" w:rsidRDefault="00EA395B" w:rsidP="00BB0D96">
            <w:pPr>
              <w:rPr>
                <w:rFonts w:eastAsia="Times New Roman" w:cs="Arial"/>
                <w:b/>
                <w:color w:val="000000"/>
              </w:rPr>
            </w:pPr>
          </w:p>
        </w:tc>
        <w:tc>
          <w:tcPr>
            <w:tcW w:w="1278" w:type="dxa"/>
          </w:tcPr>
          <w:p w:rsidR="00EA395B" w:rsidRDefault="00EA395B" w:rsidP="00BB0D96">
            <w:pPr>
              <w:rPr>
                <w:rFonts w:eastAsia="Times New Roman" w:cs="Arial"/>
                <w:b/>
                <w:color w:val="000000"/>
              </w:rPr>
            </w:pP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CSHCN with emotional, behavioral or developmental issues whose families have adequate private and/or public insurance to pay for the services they need</w:t>
            </w:r>
          </w:p>
          <w:p w:rsidR="00EA395B" w:rsidRPr="004F7A91" w:rsidRDefault="00EA395B" w:rsidP="00BB0D96">
            <w:pPr>
              <w:rPr>
                <w:rFonts w:eastAsia="Times New Roman" w:cs="Arial"/>
                <w:color w:val="000000"/>
                <w:sz w:val="18"/>
                <w:szCs w:val="18"/>
              </w:rPr>
            </w:pPr>
            <w:r w:rsidRPr="003E4575">
              <w:rPr>
                <w:rFonts w:eastAsia="Times New Roman" w:cs="Arial"/>
                <w:color w:val="000000"/>
                <w:sz w:val="18"/>
                <w:szCs w:val="18"/>
              </w:rPr>
              <w:t>Source: National Survey of Children with Special Health Care Needs (2009-2010)</w:t>
            </w:r>
          </w:p>
        </w:tc>
        <w:tc>
          <w:tcPr>
            <w:tcW w:w="1350" w:type="dxa"/>
          </w:tcPr>
          <w:p w:rsidR="00EA395B" w:rsidRDefault="00EA395B" w:rsidP="00BB0D96">
            <w:pPr>
              <w:rPr>
                <w:rFonts w:eastAsia="Times New Roman" w:cs="Arial"/>
                <w:b/>
                <w:color w:val="000000"/>
              </w:rPr>
            </w:pPr>
            <w:r w:rsidRPr="00F6227A">
              <w:rPr>
                <w:rFonts w:eastAsia="Times New Roman" w:cs="Arial"/>
                <w:b/>
                <w:color w:val="000000"/>
                <w:sz w:val="20"/>
                <w:szCs w:val="20"/>
              </w:rPr>
              <w:t>62.6%</w:t>
            </w:r>
          </w:p>
          <w:p w:rsidR="00EA395B" w:rsidRPr="00E439B5" w:rsidRDefault="00EA395B" w:rsidP="00BB0D96">
            <w:pPr>
              <w:rPr>
                <w:rFonts w:eastAsia="Times New Roman" w:cs="Arial"/>
              </w:rPr>
            </w:pPr>
          </w:p>
        </w:tc>
        <w:tc>
          <w:tcPr>
            <w:tcW w:w="1278" w:type="dxa"/>
          </w:tcPr>
          <w:p w:rsidR="00EA395B" w:rsidRDefault="00EA395B" w:rsidP="00BB0D96">
            <w:pPr>
              <w:rPr>
                <w:rFonts w:eastAsia="Times New Roman" w:cs="Arial"/>
                <w:b/>
                <w:color w:val="000000"/>
              </w:rPr>
            </w:pPr>
            <w:r w:rsidRPr="00F6227A">
              <w:rPr>
                <w:rFonts w:eastAsia="Times New Roman" w:cs="Arial"/>
                <w:b/>
                <w:color w:val="000000"/>
                <w:sz w:val="20"/>
                <w:szCs w:val="20"/>
              </w:rPr>
              <w:t>65.7%</w:t>
            </w:r>
          </w:p>
        </w:tc>
      </w:tr>
      <w:tr w:rsidR="00EA395B" w:rsidTr="00EA395B">
        <w:tc>
          <w:tcPr>
            <w:tcW w:w="6948" w:type="dxa"/>
            <w:shd w:val="clear" w:color="auto" w:fill="BFBFBF" w:themeFill="background1" w:themeFillShade="BF"/>
          </w:tcPr>
          <w:p w:rsidR="00EA395B" w:rsidRPr="00FD7A33" w:rsidRDefault="00EA395B" w:rsidP="00BB0D96">
            <w:pPr>
              <w:rPr>
                <w:rFonts w:eastAsia="Times New Roman" w:cs="Arial"/>
                <w:b/>
                <w:color w:val="000000"/>
                <w:sz w:val="18"/>
                <w:szCs w:val="18"/>
              </w:rPr>
            </w:pPr>
            <w:r w:rsidRPr="00FD7A33">
              <w:rPr>
                <w:b/>
              </w:rPr>
              <w:t>Oral Health</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Percentage of children receiving preventive dental care in the past year</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76.6%</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77.2%</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CSHCN receiving preventive dental care in the past year</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82.2%</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83.1%</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children with teeth in excellent or very good con</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72.9%</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71.3%</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Percentage of CSHCN with teeth in excellent or very good condition</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63.3%</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64.9%</w:t>
            </w:r>
          </w:p>
        </w:tc>
      </w:tr>
      <w:tr w:rsidR="00EA395B" w:rsidTr="00EA395B">
        <w:tc>
          <w:tcPr>
            <w:tcW w:w="6948" w:type="dxa"/>
          </w:tcPr>
          <w:p w:rsidR="00EA395B" w:rsidRPr="00FD7A33" w:rsidRDefault="00EA395B" w:rsidP="00BB0D96">
            <w:pPr>
              <w:rPr>
                <w:rFonts w:eastAsia="Times New Roman" w:cs="Arial"/>
                <w:color w:val="000000"/>
                <w:sz w:val="18"/>
                <w:szCs w:val="18"/>
              </w:rPr>
            </w:pPr>
            <w:r w:rsidRPr="003E4575">
              <w:rPr>
                <w:rFonts w:eastAsia="Times New Roman" w:cs="Arial"/>
                <w:color w:val="000000"/>
                <w:sz w:val="18"/>
                <w:szCs w:val="18"/>
              </w:rPr>
              <w:t>Source: National Survey of Children’s Health (2011-2012)</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FD7A33" w:rsidRDefault="00EA395B" w:rsidP="00BB0D96">
            <w:pPr>
              <w:rPr>
                <w:rFonts w:eastAsia="Times New Roman" w:cs="Arial"/>
                <w:b/>
                <w:color w:val="000000"/>
                <w:sz w:val="18"/>
                <w:szCs w:val="18"/>
              </w:rPr>
            </w:pPr>
            <w:r w:rsidRPr="00FD7A33">
              <w:rPr>
                <w:b/>
              </w:rPr>
              <w:t>Foster Care</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Number of children in foster care</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1,937</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397,122</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Percentage of children in foster care</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0.8%</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0.5%</w:t>
            </w:r>
          </w:p>
        </w:tc>
      </w:tr>
    </w:tbl>
    <w:p w:rsidR="00EA395B" w:rsidRDefault="00EA395B" w:rsidP="00EA395B"/>
    <w:tbl>
      <w:tblPr>
        <w:tblStyle w:val="TableGrid"/>
        <w:tblW w:w="0" w:type="auto"/>
        <w:tblLayout w:type="fixed"/>
        <w:tblCellMar>
          <w:top w:w="29" w:type="dxa"/>
          <w:left w:w="115" w:type="dxa"/>
          <w:bottom w:w="29" w:type="dxa"/>
          <w:right w:w="115" w:type="dxa"/>
        </w:tblCellMar>
        <w:tblLook w:val="0620" w:firstRow="1" w:lastRow="0" w:firstColumn="0" w:lastColumn="0" w:noHBand="1" w:noVBand="1"/>
        <w:tblCaption w:val="Table: Factors Influencing Health Insurance Coverage"/>
        <w:tblDescription w:val="Montana and US statistics for: Uninsured, Underinsured, Private Insurance Coverage, Public Coverage: Medicaid, CHIP and SS, Dual Public and Private Coverage, Health Care Reform, State Mandated Insurance Benefits (for private insurance), and Catastrophic Coverage"/>
      </w:tblPr>
      <w:tblGrid>
        <w:gridCol w:w="6948"/>
        <w:gridCol w:w="1350"/>
        <w:gridCol w:w="1278"/>
      </w:tblGrid>
      <w:tr w:rsidR="00EA395B" w:rsidTr="00EA395B">
        <w:trPr>
          <w:tblHeader/>
        </w:trPr>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97081C" w:rsidRDefault="00EA395B" w:rsidP="00BB0D96">
            <w:pPr>
              <w:rPr>
                <w:b/>
              </w:rPr>
            </w:pPr>
            <w:r w:rsidRPr="004356EA">
              <w:rPr>
                <w:b/>
                <w:color w:val="FFFFFF" w:themeColor="background1"/>
                <w:sz w:val="28"/>
                <w:szCs w:val="28"/>
              </w:rPr>
              <w:t>Table:</w:t>
            </w:r>
            <w:r w:rsidRPr="004356EA">
              <w:rPr>
                <w:color w:val="FFFFFF" w:themeColor="background1"/>
                <w:sz w:val="28"/>
                <w:szCs w:val="28"/>
              </w:rPr>
              <w:t xml:space="preserve"> </w:t>
            </w:r>
            <w:r w:rsidRPr="004356EA">
              <w:rPr>
                <w:rFonts w:eastAsia="Times New Roman"/>
                <w:b/>
                <w:color w:val="FFFFFF" w:themeColor="background1"/>
                <w:sz w:val="28"/>
                <w:szCs w:val="28"/>
              </w:rPr>
              <w:t>FACTORS INFLUENCING HEALTH INSURANCE COVERAGE</w:t>
            </w:r>
          </w:p>
        </w:tc>
      </w:tr>
      <w:tr w:rsidR="00EA395B" w:rsidTr="00EA395B">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4356EA" w:rsidRDefault="00EA395B" w:rsidP="00BB0D96">
            <w:pPr>
              <w:rPr>
                <w:b/>
              </w:rPr>
            </w:pPr>
            <w:r w:rsidRPr="004356EA">
              <w:rPr>
                <w:b/>
              </w:rPr>
              <w:t>Uninsured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Montana</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US</w:t>
            </w:r>
          </w:p>
        </w:tc>
      </w:tr>
      <w:tr w:rsidR="00EA395B" w:rsidTr="00EA395B">
        <w:tc>
          <w:tcPr>
            <w:tcW w:w="6948" w:type="dxa"/>
            <w:tcBorders>
              <w:top w:val="single" w:sz="4" w:space="0" w:color="000000" w:themeColor="text1"/>
            </w:tcBorders>
          </w:tcPr>
          <w:p w:rsidR="00EA395B" w:rsidRPr="00BC5DF6" w:rsidRDefault="00EA395B" w:rsidP="00BB0D96">
            <w:pPr>
              <w:rPr>
                <w:rFonts w:eastAsia="Times New Roman" w:cs="Arial"/>
                <w:b/>
                <w:color w:val="000000"/>
              </w:rPr>
            </w:pPr>
            <w:r w:rsidRPr="00BC5DF6">
              <w:rPr>
                <w:rFonts w:eastAsia="Times New Roman" w:cs="Arial"/>
                <w:b/>
                <w:color w:val="000000"/>
              </w:rPr>
              <w:t>Percentage of children without health insurance at some point in the past year</w:t>
            </w:r>
          </w:p>
          <w:p w:rsidR="00EA395B" w:rsidRPr="0097081C" w:rsidRDefault="00EA395B" w:rsidP="00BB0D96">
            <w:pPr>
              <w:rPr>
                <w:b/>
              </w:rPr>
            </w:pPr>
            <w:r w:rsidRPr="003E4575">
              <w:rPr>
                <w:rFonts w:eastAsia="Times New Roman" w:cs="Arial"/>
                <w:color w:val="000000"/>
                <w:sz w:val="18"/>
                <w:szCs w:val="18"/>
              </w:rPr>
              <w:t>Source: National Survey of Children’s Health (2011-2012)</w:t>
            </w:r>
          </w:p>
        </w:tc>
        <w:tc>
          <w:tcPr>
            <w:tcW w:w="1350" w:type="dxa"/>
            <w:tcBorders>
              <w:top w:val="single" w:sz="4" w:space="0" w:color="000000" w:themeColor="text1"/>
            </w:tcBorders>
          </w:tcPr>
          <w:p w:rsidR="00EA395B" w:rsidRDefault="00EA395B" w:rsidP="00BB0D96">
            <w:r w:rsidRPr="00F6227A">
              <w:rPr>
                <w:rFonts w:eastAsia="Times New Roman" w:cs="Arial"/>
                <w:b/>
                <w:color w:val="000000"/>
                <w:sz w:val="20"/>
                <w:szCs w:val="20"/>
              </w:rPr>
              <w:t>15.9%</w:t>
            </w:r>
          </w:p>
        </w:tc>
        <w:tc>
          <w:tcPr>
            <w:tcW w:w="1278" w:type="dxa"/>
            <w:tcBorders>
              <w:top w:val="single" w:sz="4" w:space="0" w:color="000000" w:themeColor="text1"/>
            </w:tcBorders>
          </w:tcPr>
          <w:p w:rsidR="00EA395B" w:rsidRDefault="00EA395B" w:rsidP="00BB0D96">
            <w:r w:rsidRPr="00F6227A">
              <w:rPr>
                <w:rFonts w:eastAsia="Times New Roman" w:cs="Arial"/>
                <w:b/>
                <w:color w:val="000000"/>
                <w:sz w:val="20"/>
                <w:szCs w:val="20"/>
              </w:rPr>
              <w:t>11.3%</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CYSHCN without health insurance at some point in the past year</w:t>
            </w:r>
          </w:p>
          <w:p w:rsidR="00EA395B" w:rsidRDefault="00EA395B" w:rsidP="00BB0D96">
            <w:r w:rsidRPr="003E4575">
              <w:rPr>
                <w:rFonts w:eastAsia="Times New Roman" w:cs="Arial"/>
                <w:color w:val="000000"/>
                <w:sz w:val="18"/>
                <w:szCs w:val="18"/>
              </w:rPr>
              <w:lastRenderedPageBreak/>
              <w:t>Source: National Survey of Children with Special Health Care Needs (2009-2010)</w:t>
            </w:r>
          </w:p>
        </w:tc>
        <w:tc>
          <w:tcPr>
            <w:tcW w:w="1350" w:type="dxa"/>
          </w:tcPr>
          <w:p w:rsidR="00EA395B" w:rsidRDefault="00EA395B" w:rsidP="00BB0D96">
            <w:r w:rsidRPr="00F6227A">
              <w:rPr>
                <w:rFonts w:eastAsia="Times New Roman" w:cs="Arial"/>
                <w:b/>
                <w:color w:val="000000"/>
                <w:sz w:val="20"/>
                <w:szCs w:val="20"/>
              </w:rPr>
              <w:lastRenderedPageBreak/>
              <w:t>16.1%</w:t>
            </w:r>
          </w:p>
        </w:tc>
        <w:tc>
          <w:tcPr>
            <w:tcW w:w="1278" w:type="dxa"/>
          </w:tcPr>
          <w:p w:rsidR="00EA395B" w:rsidRDefault="00EA395B" w:rsidP="00BB0D96">
            <w:r w:rsidRPr="00F6227A">
              <w:rPr>
                <w:rFonts w:eastAsia="Times New Roman" w:cs="Arial"/>
                <w:b/>
                <w:color w:val="000000"/>
                <w:sz w:val="20"/>
                <w:szCs w:val="20"/>
              </w:rPr>
              <w:t>9.3%</w:t>
            </w:r>
          </w:p>
        </w:tc>
      </w:tr>
      <w:tr w:rsidR="00EA395B" w:rsidTr="00EA395B">
        <w:tc>
          <w:tcPr>
            <w:tcW w:w="6948" w:type="dxa"/>
            <w:shd w:val="clear" w:color="auto" w:fill="BFBFBF" w:themeFill="background1" w:themeFillShade="BF"/>
          </w:tcPr>
          <w:p w:rsidR="00EA395B" w:rsidRPr="006E42E1" w:rsidRDefault="00EA395B" w:rsidP="00BB0D96">
            <w:pPr>
              <w:rPr>
                <w:b/>
              </w:rPr>
            </w:pPr>
            <w:r w:rsidRPr="006E42E1">
              <w:rPr>
                <w:b/>
              </w:rPr>
              <w:lastRenderedPageBreak/>
              <w:t>Underinsured</w:t>
            </w:r>
          </w:p>
        </w:tc>
        <w:tc>
          <w:tcPr>
            <w:tcW w:w="1350" w:type="dxa"/>
            <w:shd w:val="clear" w:color="auto" w:fill="BFBFBF" w:themeFill="background1" w:themeFillShade="BF"/>
          </w:tcPr>
          <w:p w:rsidR="00EA395B" w:rsidRPr="0097081C" w:rsidRDefault="00EA395B" w:rsidP="00BB0D96">
            <w:pPr>
              <w:rPr>
                <w:b/>
              </w:rPr>
            </w:pPr>
            <w:r w:rsidRPr="0097081C">
              <w:rPr>
                <w:b/>
              </w:rPr>
              <w:t>Montana</w:t>
            </w:r>
          </w:p>
        </w:tc>
        <w:tc>
          <w:tcPr>
            <w:tcW w:w="1278" w:type="dxa"/>
            <w:shd w:val="clear" w:color="auto" w:fill="BFBFBF" w:themeFill="background1" w:themeFillShade="BF"/>
          </w:tcPr>
          <w:p w:rsidR="00EA395B" w:rsidRPr="0097081C" w:rsidRDefault="00EA395B" w:rsidP="00BB0D96">
            <w:pPr>
              <w:rPr>
                <w:b/>
              </w:rPr>
            </w:pPr>
            <w:r w:rsidRPr="0097081C">
              <w:rPr>
                <w:b/>
              </w:rPr>
              <w:t>US</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children with inadequate health care coverage</w:t>
            </w:r>
          </w:p>
          <w:p w:rsidR="00EA395B" w:rsidRPr="0097081C" w:rsidRDefault="00EA395B" w:rsidP="00BB0D96">
            <w:pPr>
              <w:rPr>
                <w:b/>
              </w:rPr>
            </w:pPr>
            <w:r w:rsidRPr="00F75F51">
              <w:rPr>
                <w:rFonts w:eastAsia="Times New Roman" w:cs="Arial"/>
                <w:color w:val="000000"/>
                <w:sz w:val="18"/>
                <w:szCs w:val="18"/>
              </w:rPr>
              <w:t>Source</w:t>
            </w:r>
            <w:r w:rsidRPr="00F6227A">
              <w:rPr>
                <w:rFonts w:eastAsia="Times New Roman" w:cs="Arial"/>
                <w:b/>
                <w:color w:val="000000"/>
                <w:sz w:val="18"/>
                <w:szCs w:val="18"/>
              </w:rPr>
              <w:t xml:space="preserve">: </w:t>
            </w:r>
            <w:r w:rsidRPr="00F75F51">
              <w:rPr>
                <w:rFonts w:eastAsia="Times New Roman" w:cs="Arial"/>
                <w:color w:val="000000"/>
                <w:sz w:val="18"/>
                <w:szCs w:val="18"/>
              </w:rPr>
              <w:t>National Survey of Children’s Health (2011-2012)</w:t>
            </w:r>
          </w:p>
        </w:tc>
        <w:tc>
          <w:tcPr>
            <w:tcW w:w="1350" w:type="dxa"/>
          </w:tcPr>
          <w:p w:rsidR="00EA395B" w:rsidRDefault="00EA395B" w:rsidP="00BB0D96">
            <w:r w:rsidRPr="00F6227A">
              <w:rPr>
                <w:rFonts w:eastAsia="Times New Roman" w:cs="Arial"/>
                <w:b/>
                <w:color w:val="000000"/>
                <w:sz w:val="20"/>
                <w:szCs w:val="20"/>
              </w:rPr>
              <w:t>24.7%</w:t>
            </w:r>
          </w:p>
        </w:tc>
        <w:tc>
          <w:tcPr>
            <w:tcW w:w="1278" w:type="dxa"/>
          </w:tcPr>
          <w:p w:rsidR="00EA395B" w:rsidRDefault="00EA395B" w:rsidP="00BB0D96">
            <w:r w:rsidRPr="00F6227A">
              <w:rPr>
                <w:rFonts w:eastAsia="Times New Roman" w:cs="Arial"/>
                <w:b/>
                <w:color w:val="000000"/>
                <w:sz w:val="20"/>
                <w:szCs w:val="20"/>
              </w:rPr>
              <w:t>23.5%</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CYSHCN with inadequate health care coverage</w:t>
            </w:r>
          </w:p>
          <w:p w:rsidR="00EA395B" w:rsidRPr="0038041A" w:rsidRDefault="00EA395B" w:rsidP="00BB0D96">
            <w:pPr>
              <w:rPr>
                <w:sz w:val="20"/>
                <w:szCs w:val="20"/>
              </w:rPr>
            </w:pPr>
            <w:r w:rsidRPr="0038041A">
              <w:rPr>
                <w:sz w:val="20"/>
                <w:szCs w:val="20"/>
              </w:rPr>
              <w:t>Source: National Survey of Children with Special Health Care Needs (2009-2010)</w:t>
            </w:r>
          </w:p>
          <w:p w:rsidR="00EA395B" w:rsidRDefault="00EA395B" w:rsidP="00BB0D96">
            <w:r w:rsidRPr="0038041A">
              <w:rPr>
                <w:sz w:val="20"/>
                <w:szCs w:val="20"/>
              </w:rPr>
              <w:t>Tip: Relatively few CYSHCN lack insurance completely. However, private coverage is often too limited to meet their health needs, Thus, in many states, underinsurance is the major financial barrier to health care access for CYSHCN.</w:t>
            </w:r>
          </w:p>
        </w:tc>
        <w:tc>
          <w:tcPr>
            <w:tcW w:w="1350" w:type="dxa"/>
          </w:tcPr>
          <w:p w:rsidR="00EA395B" w:rsidRDefault="00EA395B" w:rsidP="00BB0D96">
            <w:r w:rsidRPr="00F6227A">
              <w:rPr>
                <w:rFonts w:eastAsia="Times New Roman" w:cs="Arial"/>
                <w:b/>
                <w:color w:val="000000"/>
                <w:sz w:val="20"/>
                <w:szCs w:val="20"/>
              </w:rPr>
              <w:t>37.4%</w:t>
            </w:r>
          </w:p>
        </w:tc>
        <w:tc>
          <w:tcPr>
            <w:tcW w:w="1278" w:type="dxa"/>
          </w:tcPr>
          <w:p w:rsidR="00EA395B" w:rsidRDefault="00EA395B" w:rsidP="00BB0D96">
            <w:r w:rsidRPr="00F6227A">
              <w:rPr>
                <w:rFonts w:eastAsia="Times New Roman" w:cs="Arial"/>
                <w:b/>
                <w:color w:val="000000"/>
                <w:sz w:val="20"/>
                <w:szCs w:val="20"/>
              </w:rPr>
              <w:t>34.3%</w:t>
            </w:r>
          </w:p>
        </w:tc>
      </w:tr>
      <w:tr w:rsidR="00EA395B" w:rsidTr="00EA395B">
        <w:tc>
          <w:tcPr>
            <w:tcW w:w="6948" w:type="dxa"/>
            <w:shd w:val="clear" w:color="auto" w:fill="BFBFBF" w:themeFill="background1" w:themeFillShade="BF"/>
          </w:tcPr>
          <w:p w:rsidR="00EA395B" w:rsidRPr="004356EA" w:rsidRDefault="00EA395B" w:rsidP="00BB0D96">
            <w:pPr>
              <w:rPr>
                <w:b/>
              </w:rPr>
            </w:pPr>
            <w:r w:rsidRPr="004356EA">
              <w:rPr>
                <w:b/>
              </w:rPr>
              <w:t>Private Insurance Coverage</w:t>
            </w:r>
          </w:p>
        </w:tc>
        <w:tc>
          <w:tcPr>
            <w:tcW w:w="1350" w:type="dxa"/>
            <w:shd w:val="clear" w:color="auto" w:fill="BFBFBF" w:themeFill="background1" w:themeFillShade="BF"/>
          </w:tcPr>
          <w:p w:rsidR="00EA395B" w:rsidRPr="0097081C" w:rsidRDefault="00EA395B" w:rsidP="00BB0D96">
            <w:pPr>
              <w:rPr>
                <w:b/>
              </w:rPr>
            </w:pPr>
            <w:r w:rsidRPr="0097081C">
              <w:rPr>
                <w:b/>
              </w:rPr>
              <w:t>Montana</w:t>
            </w:r>
          </w:p>
        </w:tc>
        <w:tc>
          <w:tcPr>
            <w:tcW w:w="1278" w:type="dxa"/>
            <w:shd w:val="clear" w:color="auto" w:fill="BFBFBF" w:themeFill="background1" w:themeFillShade="BF"/>
          </w:tcPr>
          <w:p w:rsidR="00EA395B" w:rsidRPr="00585AD3" w:rsidRDefault="00EA395B" w:rsidP="00BB0D96">
            <w:pPr>
              <w:jc w:val="center"/>
              <w:rPr>
                <w:b/>
                <w:i/>
              </w:rPr>
            </w:pPr>
            <w:r w:rsidRPr="00585AD3">
              <w:rPr>
                <w:b/>
                <w:i/>
              </w:rPr>
              <w:t>US</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children with private health insurance coverage</w:t>
            </w:r>
          </w:p>
          <w:p w:rsidR="00EA395B" w:rsidRDefault="00EA395B" w:rsidP="00BB0D96">
            <w:r w:rsidRPr="00F75F51">
              <w:rPr>
                <w:rFonts w:eastAsia="Times New Roman" w:cs="Arial"/>
                <w:color w:val="000000"/>
                <w:sz w:val="18"/>
                <w:szCs w:val="18"/>
              </w:rPr>
              <w:t>Source</w:t>
            </w:r>
            <w:r w:rsidRPr="003E4575">
              <w:rPr>
                <w:rFonts w:eastAsia="Times New Roman" w:cs="Arial"/>
                <w:color w:val="000000"/>
                <w:sz w:val="18"/>
                <w:szCs w:val="18"/>
              </w:rPr>
              <w:t>: National Survey of Children’s Health (2011-2012)</w:t>
            </w:r>
          </w:p>
        </w:tc>
        <w:tc>
          <w:tcPr>
            <w:tcW w:w="1350" w:type="dxa"/>
          </w:tcPr>
          <w:p w:rsidR="00EA395B" w:rsidRDefault="00EA395B" w:rsidP="00BB0D96">
            <w:r w:rsidRPr="00F6227A">
              <w:rPr>
                <w:rFonts w:eastAsia="Times New Roman" w:cs="Arial"/>
                <w:b/>
                <w:color w:val="000000"/>
                <w:sz w:val="20"/>
                <w:szCs w:val="20"/>
              </w:rPr>
              <w:t>56.8%</w:t>
            </w:r>
          </w:p>
        </w:tc>
        <w:tc>
          <w:tcPr>
            <w:tcW w:w="1278" w:type="dxa"/>
          </w:tcPr>
          <w:p w:rsidR="00EA395B" w:rsidRDefault="00EA395B" w:rsidP="00BB0D96">
            <w:r w:rsidRPr="00F6227A">
              <w:rPr>
                <w:rFonts w:eastAsia="Times New Roman" w:cs="Arial"/>
                <w:b/>
                <w:color w:val="000000"/>
                <w:sz w:val="20"/>
                <w:szCs w:val="20"/>
              </w:rPr>
              <w:t>57.4%</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CYSHCN with private health insurance coverage</w:t>
            </w:r>
          </w:p>
          <w:p w:rsidR="00EA395B" w:rsidRDefault="00EA395B" w:rsidP="00BB0D96">
            <w:pPr>
              <w:rPr>
                <w:rFonts w:eastAsia="Times New Roman" w:cs="Arial"/>
                <w:b/>
                <w:color w:val="000000"/>
              </w:rPr>
            </w:pPr>
            <w:r w:rsidRPr="00E72BF9">
              <w:rPr>
                <w:rFonts w:eastAsia="Times New Roman" w:cs="Arial"/>
                <w:color w:val="000000"/>
                <w:sz w:val="18"/>
                <w:szCs w:val="18"/>
              </w:rPr>
              <w:t>Source: National Survey of Children with Special Health Care Needs (2009-2010)</w:t>
            </w:r>
          </w:p>
        </w:tc>
        <w:tc>
          <w:tcPr>
            <w:tcW w:w="1350" w:type="dxa"/>
          </w:tcPr>
          <w:p w:rsidR="00EA395B" w:rsidRDefault="00EA395B" w:rsidP="00BB0D96">
            <w:pPr>
              <w:rPr>
                <w:rFonts w:eastAsia="Times New Roman" w:cs="Arial"/>
                <w:b/>
                <w:color w:val="000000"/>
              </w:rPr>
            </w:pPr>
            <w:r w:rsidRPr="00F6227A">
              <w:rPr>
                <w:rFonts w:eastAsia="Times New Roman" w:cs="Arial"/>
                <w:b/>
                <w:color w:val="000000"/>
                <w:sz w:val="20"/>
                <w:szCs w:val="20"/>
              </w:rPr>
              <w:t>48.0%</w:t>
            </w:r>
          </w:p>
        </w:tc>
        <w:tc>
          <w:tcPr>
            <w:tcW w:w="1278" w:type="dxa"/>
          </w:tcPr>
          <w:p w:rsidR="00EA395B" w:rsidRDefault="00EA395B" w:rsidP="00BB0D96">
            <w:pPr>
              <w:rPr>
                <w:rFonts w:eastAsia="Times New Roman" w:cs="Arial"/>
                <w:b/>
                <w:color w:val="000000"/>
              </w:rPr>
            </w:pPr>
            <w:r w:rsidRPr="00F6227A">
              <w:rPr>
                <w:rFonts w:eastAsia="Times New Roman" w:cs="Arial"/>
                <w:b/>
                <w:color w:val="000000"/>
                <w:sz w:val="20"/>
                <w:szCs w:val="20"/>
              </w:rPr>
              <w:t>52.4%</w:t>
            </w:r>
          </w:p>
        </w:tc>
      </w:tr>
      <w:tr w:rsidR="00EA395B" w:rsidTr="00EA395B">
        <w:tc>
          <w:tcPr>
            <w:tcW w:w="6948" w:type="dxa"/>
            <w:shd w:val="clear" w:color="auto" w:fill="BFBFBF" w:themeFill="background1" w:themeFillShade="BF"/>
          </w:tcPr>
          <w:p w:rsidR="00EA395B" w:rsidRPr="004356EA" w:rsidRDefault="00EA395B" w:rsidP="00BB0D96">
            <w:pPr>
              <w:rPr>
                <w:rFonts w:eastAsia="Times New Roman" w:cs="Arial"/>
                <w:b/>
                <w:color w:val="000000"/>
                <w:sz w:val="18"/>
                <w:szCs w:val="18"/>
              </w:rPr>
            </w:pPr>
            <w:r w:rsidRPr="004356EA">
              <w:rPr>
                <w:b/>
              </w:rPr>
              <w:t>Public Coverage: Medicaid, CHIP and SS</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Number of children enrolled in Medicaid</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63,628</w:t>
            </w:r>
          </w:p>
        </w:tc>
        <w:tc>
          <w:tcPr>
            <w:tcW w:w="1278" w:type="dxa"/>
            <w:vAlign w:val="center"/>
          </w:tcPr>
          <w:p w:rsidR="00EA395B" w:rsidRPr="00F6227A" w:rsidRDefault="00EA395B" w:rsidP="00BB0D96">
            <w:pPr>
              <w:jc w:val="center"/>
              <w:rPr>
                <w:rFonts w:eastAsia="Times New Roman" w:cs="Arial"/>
                <w:b/>
                <w:color w:val="000000"/>
                <w:sz w:val="16"/>
                <w:szCs w:val="16"/>
              </w:rPr>
            </w:pPr>
            <w:r w:rsidRPr="00F6227A">
              <w:rPr>
                <w:rFonts w:eastAsia="Times New Roman" w:cs="Arial"/>
                <w:b/>
                <w:color w:val="000000"/>
                <w:sz w:val="16"/>
                <w:szCs w:val="16"/>
              </w:rPr>
              <w:t>30,746,220</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Medicaid enrollees who are children</w:t>
            </w:r>
          </w:p>
          <w:p w:rsidR="00EA395B" w:rsidRPr="00526D5B" w:rsidRDefault="00EA395B" w:rsidP="00BB0D96">
            <w:pPr>
              <w:rPr>
                <w:rFonts w:eastAsia="Times New Roman" w:cs="Arial"/>
                <w:color w:val="000000"/>
                <w:sz w:val="18"/>
                <w:szCs w:val="18"/>
              </w:rPr>
            </w:pPr>
            <w:r w:rsidRPr="003E4575">
              <w:rPr>
                <w:rFonts w:eastAsia="Times New Roman" w:cs="Arial"/>
                <w:color w:val="000000"/>
                <w:sz w:val="18"/>
                <w:szCs w:val="18"/>
              </w:rPr>
              <w:t>Source: Kaiser Family Foundation (2012)</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55%</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49%</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CYSHCN enrolled in Medicaid or CHIP</w:t>
            </w:r>
          </w:p>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National Survey of Children with Special Health Care Needs (2009-2010)</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38.0%</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35.9%</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children enrolled in Medicaid or CHIP</w:t>
            </w:r>
          </w:p>
          <w:p w:rsidR="00EA395B" w:rsidRPr="003E4575" w:rsidRDefault="00EA395B" w:rsidP="00BB0D96">
            <w:pPr>
              <w:rPr>
                <w:rFonts w:eastAsia="Times New Roman" w:cs="Arial"/>
                <w:color w:val="000000"/>
                <w:sz w:val="18"/>
                <w:szCs w:val="18"/>
              </w:rPr>
            </w:pPr>
            <w:r w:rsidRPr="00E72BF9">
              <w:rPr>
                <w:rFonts w:eastAsia="Times New Roman" w:cs="Arial"/>
                <w:color w:val="000000"/>
                <w:sz w:val="18"/>
                <w:szCs w:val="18"/>
              </w:rPr>
              <w:t>Source: National Survey of Children’s Health (2011-2012)</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34.6%</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37.1%</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Maximum allowed income for CHIP eligibility as a percentage of the FPL</w:t>
            </w:r>
          </w:p>
          <w:p w:rsidR="00EA395B" w:rsidRPr="003E4575" w:rsidRDefault="00EA395B" w:rsidP="00BB0D96">
            <w:pPr>
              <w:rPr>
                <w:rFonts w:eastAsia="Times New Roman" w:cs="Arial"/>
                <w:color w:val="000000"/>
                <w:sz w:val="18"/>
                <w:szCs w:val="18"/>
              </w:rPr>
            </w:pPr>
            <w:r w:rsidRPr="003A2C99">
              <w:rPr>
                <w:rFonts w:eastAsia="Times New Roman" w:cs="Arial"/>
                <w:color w:val="000000"/>
                <w:sz w:val="18"/>
                <w:szCs w:val="18"/>
              </w:rPr>
              <w:t>Source: Kaiser Family Foundation (2013)</w:t>
            </w:r>
          </w:p>
        </w:tc>
        <w:tc>
          <w:tcPr>
            <w:tcW w:w="1350" w:type="dxa"/>
          </w:tcPr>
          <w:p w:rsidR="00EA395B" w:rsidRPr="00F6227A" w:rsidRDefault="00106B97" w:rsidP="00BB0D96">
            <w:pPr>
              <w:rPr>
                <w:rFonts w:eastAsia="Times New Roman" w:cs="Arial"/>
                <w:b/>
                <w:color w:val="000000"/>
                <w:sz w:val="20"/>
                <w:szCs w:val="20"/>
              </w:rPr>
            </w:pPr>
            <w:r>
              <w:rPr>
                <w:rFonts w:eastAsia="Times New Roman" w:cs="Arial"/>
                <w:b/>
                <w:color w:val="000000"/>
                <w:sz w:val="20"/>
                <w:szCs w:val="20"/>
              </w:rPr>
              <w:t>266</w:t>
            </w:r>
            <w:r w:rsidR="00EA395B" w:rsidRPr="00F6227A">
              <w:rPr>
                <w:rFonts w:eastAsia="Times New Roman" w:cs="Arial"/>
                <w:b/>
                <w:color w:val="000000"/>
                <w:sz w:val="20"/>
                <w:szCs w:val="20"/>
              </w:rPr>
              <w:t>%</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N/A</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Number of children enrolled in CHIP</w:t>
            </w:r>
          </w:p>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Kaiser Family Foundation (2012)</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28,570</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8,148,397</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Percentage of children enrolled in CHIP</w:t>
            </w:r>
          </w:p>
          <w:p w:rsidR="00EA395B" w:rsidRPr="003E4575" w:rsidRDefault="00EA395B" w:rsidP="00BB0D96">
            <w:pPr>
              <w:rPr>
                <w:rFonts w:eastAsia="Times New Roman" w:cs="Arial"/>
                <w:color w:val="000000"/>
                <w:sz w:val="18"/>
                <w:szCs w:val="18"/>
              </w:rPr>
            </w:pPr>
            <w:r w:rsidRPr="0087631A">
              <w:rPr>
                <w:rFonts w:eastAsia="Times New Roman" w:cs="Arial"/>
                <w:color w:val="000000"/>
                <w:sz w:val="18"/>
                <w:szCs w:val="18"/>
              </w:rPr>
              <w:t>Source: Kaiser Family Foundation (2012)</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12.3%</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10.4%</w:t>
            </w:r>
          </w:p>
        </w:tc>
      </w:tr>
      <w:tr w:rsidR="00EA395B" w:rsidTr="00EA395B">
        <w:tc>
          <w:tcPr>
            <w:tcW w:w="6948" w:type="dxa"/>
          </w:tcPr>
          <w:p w:rsidR="00EA395B" w:rsidRPr="00BC5DF6" w:rsidRDefault="00EA395B" w:rsidP="00BB0D96">
            <w:pPr>
              <w:pBdr>
                <w:right w:val="single" w:sz="4" w:space="4" w:color="auto"/>
              </w:pBdr>
              <w:rPr>
                <w:rFonts w:eastAsia="Times New Roman" w:cs="Arial"/>
                <w:b/>
                <w:color w:val="000000"/>
              </w:rPr>
            </w:pPr>
            <w:r w:rsidRPr="00BC5DF6">
              <w:rPr>
                <w:rFonts w:eastAsia="Times New Roman" w:cs="Arial"/>
                <w:b/>
                <w:color w:val="000000"/>
              </w:rPr>
              <w:t>Number of children enrolled in Supplemental Security Income (SSI)</w:t>
            </w:r>
          </w:p>
          <w:p w:rsidR="00EA395B" w:rsidRPr="003E4575" w:rsidRDefault="00EA395B" w:rsidP="00BB0D96">
            <w:pPr>
              <w:rPr>
                <w:rFonts w:eastAsia="Times New Roman" w:cs="Arial"/>
                <w:color w:val="000000"/>
                <w:sz w:val="18"/>
                <w:szCs w:val="18"/>
              </w:rPr>
            </w:pPr>
            <w:r w:rsidRPr="00D92D31">
              <w:rPr>
                <w:rFonts w:eastAsia="Times New Roman" w:cs="Arial"/>
                <w:color w:val="000000"/>
                <w:sz w:val="18"/>
                <w:szCs w:val="18"/>
              </w:rPr>
              <w:t>Source: Kaiser Family Foundation (2011)</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2,568</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1,277,122</w:t>
            </w:r>
          </w:p>
        </w:tc>
      </w:tr>
      <w:tr w:rsidR="00EA395B" w:rsidTr="00EA395B">
        <w:tc>
          <w:tcPr>
            <w:tcW w:w="6948" w:type="dxa"/>
          </w:tcPr>
          <w:p w:rsidR="00EA395B" w:rsidRPr="00BC5DF6" w:rsidRDefault="00EA395B" w:rsidP="00BB0D96">
            <w:pPr>
              <w:pBdr>
                <w:right w:val="single" w:sz="4" w:space="4" w:color="auto"/>
              </w:pBdr>
              <w:rPr>
                <w:rFonts w:eastAsia="Times New Roman" w:cs="Arial"/>
                <w:b/>
                <w:color w:val="000000"/>
              </w:rPr>
            </w:pPr>
            <w:r w:rsidRPr="00BC5DF6">
              <w:rPr>
                <w:rFonts w:eastAsia="Times New Roman" w:cs="Arial"/>
                <w:b/>
                <w:color w:val="000000"/>
              </w:rPr>
              <w:t>Percentage of children enrolled in Supplemental Security Income (SSI)</w:t>
            </w:r>
          </w:p>
          <w:p w:rsidR="00EA395B" w:rsidRPr="003E4575" w:rsidRDefault="00EA395B" w:rsidP="00BB0D96">
            <w:pPr>
              <w:rPr>
                <w:rFonts w:eastAsia="Times New Roman" w:cs="Arial"/>
                <w:color w:val="000000"/>
                <w:sz w:val="18"/>
                <w:szCs w:val="18"/>
              </w:rPr>
            </w:pPr>
            <w:r w:rsidRPr="00D92D31">
              <w:rPr>
                <w:rFonts w:eastAsia="Times New Roman" w:cs="Arial"/>
                <w:color w:val="000000"/>
                <w:sz w:val="18"/>
                <w:szCs w:val="18"/>
              </w:rPr>
              <w:t>Source: Kaiser Family Foundation (2011) and U.S. Census Bureau (2010)</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1.2%</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1.7%</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TEFRA Medicaid state plan option/Katie Beckett waiver for children</w:t>
            </w:r>
          </w:p>
          <w:p w:rsidR="00EA395B" w:rsidRPr="003E4575" w:rsidRDefault="00EA395B" w:rsidP="00BB0D96">
            <w:pPr>
              <w:rPr>
                <w:rFonts w:eastAsia="Times New Roman" w:cs="Arial"/>
                <w:color w:val="000000"/>
                <w:sz w:val="18"/>
                <w:szCs w:val="18"/>
              </w:rPr>
            </w:pPr>
            <w:r w:rsidRPr="00D92D31">
              <w:rPr>
                <w:rFonts w:eastAsia="Times New Roman" w:cs="Arial"/>
                <w:color w:val="000000"/>
                <w:sz w:val="18"/>
                <w:szCs w:val="18"/>
              </w:rPr>
              <w:t>Source: American Journal of Law and Medicine (2011)</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Yes=23</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Premium Assistance Programs</w:t>
            </w:r>
          </w:p>
          <w:p w:rsidR="00EA395B" w:rsidRPr="003E4575" w:rsidRDefault="00EA395B" w:rsidP="00BB0D96">
            <w:pPr>
              <w:rPr>
                <w:rFonts w:eastAsia="Times New Roman" w:cs="Arial"/>
                <w:color w:val="000000"/>
                <w:sz w:val="18"/>
                <w:szCs w:val="18"/>
              </w:rPr>
            </w:pPr>
            <w:r w:rsidRPr="00D92D31">
              <w:rPr>
                <w:rFonts w:eastAsia="Times New Roman" w:cs="Arial"/>
                <w:color w:val="000000"/>
                <w:sz w:val="18"/>
                <w:szCs w:val="18"/>
              </w:rPr>
              <w:t>Source: U.S. Department of Labor, Employee Benefits Security Administration</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Yes=38</w:t>
            </w:r>
          </w:p>
        </w:tc>
      </w:tr>
      <w:tr w:rsidR="00EA395B" w:rsidTr="00EA395B">
        <w:tc>
          <w:tcPr>
            <w:tcW w:w="6948" w:type="dxa"/>
            <w:shd w:val="clear" w:color="auto" w:fill="BFBFBF" w:themeFill="background1" w:themeFillShade="BF"/>
          </w:tcPr>
          <w:p w:rsidR="00EA395B" w:rsidRPr="00BC5DF6" w:rsidRDefault="00EA395B" w:rsidP="00BB0D96">
            <w:pPr>
              <w:rPr>
                <w:rFonts w:eastAsia="Times New Roman" w:cs="Arial"/>
                <w:b/>
                <w:color w:val="000000"/>
                <w:sz w:val="18"/>
                <w:szCs w:val="18"/>
              </w:rPr>
            </w:pPr>
            <w:r w:rsidRPr="00BC5DF6">
              <w:rPr>
                <w:b/>
              </w:rPr>
              <w:t>Dual Public and Private Coverage</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3E4575" w:rsidRDefault="00EA395B" w:rsidP="00BB0D96">
            <w:pPr>
              <w:rPr>
                <w:rFonts w:eastAsia="Times New Roman" w:cs="Arial"/>
                <w:color w:val="000000"/>
                <w:sz w:val="18"/>
                <w:szCs w:val="18"/>
              </w:rPr>
            </w:pP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BC5DF6" w:rsidRDefault="00EA395B" w:rsidP="00BB0D96">
            <w:pPr>
              <w:rPr>
                <w:rFonts w:eastAsia="Times New Roman" w:cs="Arial"/>
                <w:b/>
                <w:color w:val="000000"/>
                <w:sz w:val="20"/>
                <w:szCs w:val="20"/>
              </w:rPr>
            </w:pPr>
            <w:r w:rsidRPr="00BC5DF6">
              <w:rPr>
                <w:rFonts w:eastAsia="Times New Roman" w:cs="Arial"/>
                <w:b/>
                <w:color w:val="000000"/>
                <w:sz w:val="20"/>
                <w:szCs w:val="20"/>
              </w:rPr>
              <w:t>8.2%</w:t>
            </w:r>
          </w:p>
        </w:tc>
      </w:tr>
      <w:tr w:rsidR="00EA395B" w:rsidTr="00EA395B">
        <w:tc>
          <w:tcPr>
            <w:tcW w:w="6948" w:type="dxa"/>
          </w:tcPr>
          <w:p w:rsidR="00EA395B" w:rsidRPr="00B60719" w:rsidRDefault="00EA395B" w:rsidP="00BB0D96">
            <w:pPr>
              <w:rPr>
                <w:sz w:val="20"/>
                <w:szCs w:val="20"/>
              </w:rPr>
            </w:pPr>
            <w:r w:rsidRPr="0038041A">
              <w:rPr>
                <w:sz w:val="20"/>
                <w:szCs w:val="20"/>
              </w:rPr>
              <w:t xml:space="preserve">Tip: Dual coverage is an option in states which permit privately insured families to enroll their children in Medicaid in order to receive supplemental coverage, sometimes known as "wrap-around" coverage. This type of </w:t>
            </w:r>
            <w:r w:rsidRPr="0038041A">
              <w:rPr>
                <w:sz w:val="20"/>
                <w:szCs w:val="20"/>
              </w:rPr>
              <w:lastRenderedPageBreak/>
              <w:t>secondary Medicaid enrollment may be offered free or through the payment of premiums based on a sliding scale. Dual coverage helps address underinsurance, which is a significant problem for many privately insured CYSHCN whose coverage is too limited to meet their health needs.</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5E652A" w:rsidRDefault="00EA395B" w:rsidP="00BB0D96">
            <w:pPr>
              <w:rPr>
                <w:b/>
              </w:rPr>
            </w:pPr>
            <w:r w:rsidRPr="005E652A">
              <w:rPr>
                <w:b/>
              </w:rPr>
              <w:lastRenderedPageBreak/>
              <w:t>Health Care Reform</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Exchange overview</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Exchange decision</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Fed run</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State run=17; State/fed partnership=7; Fed run=27</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Type of exchange</w:t>
            </w:r>
          </w:p>
          <w:p w:rsidR="00EA395B" w:rsidRPr="0038041A" w:rsidRDefault="00EA395B" w:rsidP="00BB0D96">
            <w:pPr>
              <w:rPr>
                <w:rFonts w:eastAsia="Times New Roman" w:cs="Arial"/>
                <w:color w:val="000000"/>
                <w:sz w:val="18"/>
                <w:szCs w:val="18"/>
              </w:rPr>
            </w:pPr>
            <w:r w:rsidRPr="0038041A">
              <w:rPr>
                <w:rFonts w:eastAsia="Times New Roman" w:cs="Arial"/>
                <w:color w:val="000000"/>
                <w:sz w:val="18"/>
                <w:szCs w:val="18"/>
              </w:rPr>
              <w:t xml:space="preserve">Source: </w:t>
            </w:r>
            <w:r>
              <w:rPr>
                <w:rFonts w:eastAsia="Times New Roman" w:cs="Arial"/>
                <w:color w:val="000000"/>
                <w:sz w:val="18"/>
                <w:szCs w:val="18"/>
              </w:rPr>
              <w:t>Kaiser Family Foundation (2014)</w:t>
            </w:r>
          </w:p>
          <w:p w:rsidR="00EA395B" w:rsidRPr="0038041A" w:rsidRDefault="00EA395B" w:rsidP="00BB0D96">
            <w:pPr>
              <w:rPr>
                <w:rFonts w:eastAsia="Times New Roman" w:cs="Arial"/>
                <w:color w:val="000000"/>
                <w:sz w:val="18"/>
                <w:szCs w:val="18"/>
              </w:rPr>
            </w:pPr>
            <w:r w:rsidRPr="0038041A">
              <w:rPr>
                <w:rFonts w:eastAsia="Times New Roman" w:cs="Arial"/>
                <w:color w:val="000000"/>
                <w:sz w:val="18"/>
                <w:szCs w:val="18"/>
              </w:rPr>
              <w:t>Tip: The term Health Insurance “Exchange” is also used interchangeably with</w:t>
            </w:r>
          </w:p>
          <w:p w:rsidR="00EA395B" w:rsidRPr="003E4575" w:rsidRDefault="00EA395B" w:rsidP="00BB0D96">
            <w:pPr>
              <w:rPr>
                <w:rFonts w:eastAsia="Times New Roman" w:cs="Arial"/>
                <w:color w:val="000000"/>
                <w:sz w:val="18"/>
                <w:szCs w:val="18"/>
              </w:rPr>
            </w:pPr>
            <w:r w:rsidRPr="0038041A">
              <w:rPr>
                <w:rFonts w:eastAsia="Times New Roman" w:cs="Arial"/>
                <w:color w:val="000000"/>
                <w:sz w:val="18"/>
                <w:szCs w:val="18"/>
              </w:rPr>
              <w:t>Health Insurance “Marketplace.”</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N/A</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N/A</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Recommended benchmark plan</w:t>
            </w:r>
          </w:p>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Center for Consumer Information and Insurance Oversight (2012)</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18"/>
                <w:szCs w:val="18"/>
              </w:rPr>
              <w:t>Blue Cross and Blue Shield of Montana Blue Dimensions</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N/A</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Plan type</w:t>
            </w:r>
          </w:p>
          <w:p w:rsidR="00EA395B" w:rsidRPr="00F4177F" w:rsidRDefault="00EA395B" w:rsidP="00BB0D96">
            <w:pPr>
              <w:spacing w:after="120"/>
              <w:rPr>
                <w:rFonts w:eastAsia="Times New Roman" w:cs="Arial"/>
                <w:b/>
                <w:color w:val="000000"/>
              </w:rPr>
            </w:pPr>
            <w:r w:rsidRPr="003E4575">
              <w:rPr>
                <w:rFonts w:eastAsia="Times New Roman" w:cs="Arial"/>
                <w:color w:val="000000"/>
                <w:sz w:val="18"/>
                <w:szCs w:val="18"/>
              </w:rPr>
              <w:t>Source: National Academy for State Health Policy (2014)</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Default</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N/A</w:t>
            </w:r>
          </w:p>
        </w:tc>
      </w:tr>
      <w:tr w:rsidR="00EA395B" w:rsidTr="00EA395B">
        <w:tc>
          <w:tcPr>
            <w:tcW w:w="6948" w:type="dxa"/>
          </w:tcPr>
          <w:p w:rsidR="00EA395B" w:rsidRPr="00BC5DF6" w:rsidRDefault="00EA395B" w:rsidP="00BB0D96">
            <w:pPr>
              <w:rPr>
                <w:rFonts w:eastAsia="Times New Roman" w:cs="Arial"/>
                <w:color w:val="000000"/>
              </w:rPr>
            </w:pPr>
            <w:r w:rsidRPr="00BC5DF6">
              <w:rPr>
                <w:rFonts w:eastAsia="Times New Roman" w:cs="Arial"/>
                <w:b/>
                <w:color w:val="000000"/>
              </w:rPr>
              <w:t>Approved Section 2703 Health Home State Plan Amendments (SPAs)</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Approved SPA</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vAlign w:val="center"/>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Yes=12</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Target population</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N/A</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N/A</w:t>
            </w:r>
          </w:p>
        </w:tc>
      </w:tr>
      <w:tr w:rsidR="00EA395B" w:rsidTr="00EA395B">
        <w:tc>
          <w:tcPr>
            <w:tcW w:w="6948" w:type="dxa"/>
          </w:tcPr>
          <w:p w:rsidR="00EA395B" w:rsidRPr="00BC5DF6" w:rsidRDefault="00EA395B" w:rsidP="00BB0D96">
            <w:pPr>
              <w:rPr>
                <w:rFonts w:eastAsia="Times New Roman" w:cs="Arial"/>
                <w:b/>
                <w:color w:val="000000"/>
              </w:rPr>
            </w:pPr>
            <w:r w:rsidRPr="00BC5DF6">
              <w:rPr>
                <w:rFonts w:eastAsia="Times New Roman" w:cs="Arial"/>
                <w:b/>
                <w:color w:val="000000"/>
              </w:rPr>
              <w:t>Geographic area</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N/A</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N/A</w:t>
            </w:r>
          </w:p>
        </w:tc>
      </w:tr>
      <w:tr w:rsidR="00EA395B" w:rsidTr="00EA395B">
        <w:tc>
          <w:tcPr>
            <w:tcW w:w="6948" w:type="dxa"/>
          </w:tcPr>
          <w:p w:rsidR="00EA395B" w:rsidRPr="00F6227A" w:rsidRDefault="00EA395B" w:rsidP="00BB0D96">
            <w:pPr>
              <w:rPr>
                <w:rFonts w:eastAsia="Times New Roman" w:cs="Arial"/>
                <w:b/>
                <w:color w:val="000000"/>
                <w:sz w:val="20"/>
                <w:szCs w:val="20"/>
              </w:rPr>
            </w:pPr>
            <w:r w:rsidRPr="003E4575">
              <w:rPr>
                <w:rFonts w:eastAsia="Times New Roman" w:cs="Arial"/>
                <w:color w:val="000000"/>
                <w:sz w:val="18"/>
                <w:szCs w:val="18"/>
              </w:rPr>
              <w:t>Source: Kaiser Family Foundation (2013)</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6E42E1" w:rsidRDefault="00EA395B" w:rsidP="00BB0D96">
            <w:pPr>
              <w:rPr>
                <w:b/>
              </w:rPr>
            </w:pPr>
            <w:r w:rsidRPr="006E42E1">
              <w:rPr>
                <w:b/>
              </w:rPr>
              <w:t>State Mandated Insurance Benefits (for private insurance)</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886BD6" w:rsidRDefault="00EA395B" w:rsidP="00BB0D96">
            <w:pPr>
              <w:rPr>
                <w:rFonts w:eastAsia="Times New Roman" w:cs="Arial"/>
                <w:b/>
                <w:color w:val="000000"/>
              </w:rPr>
            </w:pPr>
            <w:r w:rsidRPr="00886BD6">
              <w:rPr>
                <w:rFonts w:eastAsia="Times New Roman" w:cs="Arial"/>
                <w:b/>
                <w:color w:val="000000"/>
              </w:rPr>
              <w:t>Autism</w:t>
            </w:r>
          </w:p>
          <w:p w:rsidR="00EA395B" w:rsidRPr="003E4575" w:rsidRDefault="00EA395B" w:rsidP="00BB0D96">
            <w:pPr>
              <w:rPr>
                <w:rFonts w:eastAsia="Times New Roman" w:cs="Arial"/>
                <w:color w:val="000000"/>
                <w:sz w:val="18"/>
                <w:szCs w:val="18"/>
              </w:rPr>
            </w:pPr>
            <w:r w:rsidRPr="003E4575">
              <w:rPr>
                <w:rFonts w:eastAsia="Times New Roman" w:cs="Arial"/>
                <w:color w:val="000000"/>
                <w:sz w:val="18"/>
                <w:szCs w:val="18"/>
              </w:rPr>
              <w:t>Source: Autism Speaks (2013)</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Yes=35</w:t>
            </w:r>
          </w:p>
        </w:tc>
      </w:tr>
      <w:tr w:rsidR="00EA395B" w:rsidTr="00EA395B">
        <w:tc>
          <w:tcPr>
            <w:tcW w:w="6948" w:type="dxa"/>
          </w:tcPr>
          <w:p w:rsidR="00EA395B" w:rsidRPr="00886BD6" w:rsidRDefault="00EA395B" w:rsidP="00BB0D96">
            <w:pPr>
              <w:rPr>
                <w:rFonts w:eastAsia="Times New Roman" w:cs="Arial"/>
                <w:color w:val="000000"/>
              </w:rPr>
            </w:pPr>
            <w:r w:rsidRPr="00886BD6">
              <w:rPr>
                <w:rFonts w:eastAsia="Times New Roman" w:cs="Arial"/>
                <w:b/>
                <w:color w:val="000000"/>
              </w:rPr>
              <w:t>Bone Marrow Transplants</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Yes=9</w:t>
            </w:r>
          </w:p>
        </w:tc>
      </w:tr>
      <w:tr w:rsidR="00EA395B" w:rsidTr="00EA395B">
        <w:tc>
          <w:tcPr>
            <w:tcW w:w="6948" w:type="dxa"/>
          </w:tcPr>
          <w:p w:rsidR="00EA395B" w:rsidRPr="00886BD6" w:rsidRDefault="00EA395B" w:rsidP="00BB0D96">
            <w:pPr>
              <w:rPr>
                <w:rFonts w:eastAsia="Times New Roman" w:cs="Arial"/>
                <w:b/>
                <w:color w:val="000000"/>
              </w:rPr>
            </w:pPr>
            <w:r w:rsidRPr="00886BD6">
              <w:rPr>
                <w:rFonts w:eastAsia="Times New Roman" w:cs="Arial"/>
                <w:b/>
                <w:color w:val="000000"/>
              </w:rPr>
              <w:t>Cleft Palate</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Yes=17</w:t>
            </w:r>
          </w:p>
        </w:tc>
      </w:tr>
      <w:tr w:rsidR="00EA395B" w:rsidTr="00EA395B">
        <w:tc>
          <w:tcPr>
            <w:tcW w:w="6948" w:type="dxa"/>
          </w:tcPr>
          <w:p w:rsidR="00EA395B" w:rsidRPr="00886BD6" w:rsidRDefault="00EA395B" w:rsidP="00BB0D96">
            <w:pPr>
              <w:rPr>
                <w:rFonts w:eastAsia="Times New Roman" w:cs="Arial"/>
                <w:b/>
                <w:color w:val="000000"/>
              </w:rPr>
            </w:pPr>
            <w:r w:rsidRPr="00886BD6">
              <w:rPr>
                <w:rFonts w:eastAsia="Times New Roman" w:cs="Arial"/>
                <w:b/>
                <w:color w:val="000000"/>
              </w:rPr>
              <w:t>Congenital Bleeding Disorders</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Yes=3</w:t>
            </w:r>
          </w:p>
        </w:tc>
      </w:tr>
      <w:tr w:rsidR="00EA395B" w:rsidTr="00EA395B">
        <w:tc>
          <w:tcPr>
            <w:tcW w:w="6948" w:type="dxa"/>
          </w:tcPr>
          <w:p w:rsidR="00EA395B" w:rsidRPr="00886BD6" w:rsidRDefault="00EA395B" w:rsidP="00BB0D96">
            <w:pPr>
              <w:rPr>
                <w:rFonts w:eastAsia="Times New Roman" w:cs="Arial"/>
                <w:b/>
                <w:color w:val="000000"/>
              </w:rPr>
            </w:pPr>
            <w:r w:rsidRPr="00886BD6">
              <w:rPr>
                <w:rFonts w:eastAsia="Times New Roman" w:cs="Arial"/>
                <w:b/>
                <w:color w:val="000000"/>
              </w:rPr>
              <w:t>Dental Anesthesia</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Yes=31</w:t>
            </w:r>
          </w:p>
        </w:tc>
      </w:tr>
      <w:tr w:rsidR="00EA395B" w:rsidTr="00EA395B">
        <w:tc>
          <w:tcPr>
            <w:tcW w:w="6948" w:type="dxa"/>
          </w:tcPr>
          <w:p w:rsidR="00EA395B" w:rsidRPr="00886BD6" w:rsidRDefault="00EA395B" w:rsidP="00BB0D96">
            <w:pPr>
              <w:rPr>
                <w:rFonts w:eastAsia="Times New Roman" w:cs="Arial"/>
                <w:b/>
                <w:color w:val="000000"/>
              </w:rPr>
            </w:pPr>
            <w:r w:rsidRPr="00886BD6">
              <w:rPr>
                <w:rFonts w:eastAsia="Times New Roman" w:cs="Arial"/>
                <w:b/>
                <w:color w:val="000000"/>
              </w:rPr>
              <w:t>Diabetes Self-Management</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w:t>
            </w:r>
          </w:p>
        </w:tc>
        <w:tc>
          <w:tcPr>
            <w:tcW w:w="1278" w:type="dxa"/>
          </w:tcPr>
          <w:p w:rsidR="00EA395B" w:rsidRPr="00F6227A" w:rsidRDefault="00EA395B" w:rsidP="00BB0D96">
            <w:pPr>
              <w:rPr>
                <w:rFonts w:eastAsia="Times New Roman" w:cs="Arial"/>
                <w:b/>
                <w:color w:val="000000"/>
                <w:sz w:val="20"/>
                <w:szCs w:val="20"/>
              </w:rPr>
            </w:pPr>
            <w:r>
              <w:rPr>
                <w:rFonts w:eastAsia="Times New Roman" w:cs="Arial"/>
                <w:b/>
                <w:color w:val="000000"/>
                <w:sz w:val="20"/>
                <w:szCs w:val="20"/>
              </w:rPr>
              <w:t>Y</w:t>
            </w:r>
            <w:r w:rsidRPr="00F6227A">
              <w:rPr>
                <w:rFonts w:eastAsia="Times New Roman" w:cs="Arial"/>
                <w:b/>
                <w:color w:val="000000"/>
                <w:sz w:val="20"/>
                <w:szCs w:val="20"/>
              </w:rPr>
              <w:t>es=38</w:t>
            </w:r>
          </w:p>
        </w:tc>
      </w:tr>
      <w:tr w:rsidR="00EA395B" w:rsidTr="00EA395B">
        <w:tc>
          <w:tcPr>
            <w:tcW w:w="6948" w:type="dxa"/>
          </w:tcPr>
          <w:p w:rsidR="00EA395B" w:rsidRPr="00886BD6" w:rsidRDefault="00EA395B" w:rsidP="00BB0D96">
            <w:pPr>
              <w:rPr>
                <w:rFonts w:eastAsia="Times New Roman" w:cs="Arial"/>
                <w:b/>
                <w:color w:val="000000"/>
              </w:rPr>
            </w:pPr>
            <w:r w:rsidRPr="00886BD6">
              <w:rPr>
                <w:rFonts w:eastAsia="Times New Roman" w:cs="Arial"/>
                <w:b/>
                <w:color w:val="000000"/>
              </w:rPr>
              <w:t>Diabetic Supplies</w:t>
            </w:r>
          </w:p>
          <w:p w:rsidR="00EA395B" w:rsidRPr="00886BD6" w:rsidRDefault="00EA395B" w:rsidP="00BB0D96">
            <w:pPr>
              <w:rPr>
                <w:rFonts w:eastAsia="Times New Roman" w:cs="Arial"/>
                <w:b/>
                <w:color w:val="000000"/>
                <w:sz w:val="20"/>
                <w:szCs w:val="20"/>
              </w:rPr>
            </w:pPr>
            <w:r w:rsidRPr="00886BD6">
              <w:rPr>
                <w:rFonts w:eastAsia="Times New Roman" w:cs="Arial"/>
                <w:color w:val="000000"/>
                <w:sz w:val="20"/>
                <w:szCs w:val="20"/>
              </w:rPr>
              <w:t>Source: Center for Affordable Health Insurance (2010)</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Yes=47</w:t>
            </w:r>
          </w:p>
        </w:tc>
      </w:tr>
      <w:tr w:rsidR="00EA395B" w:rsidTr="00EA395B">
        <w:tc>
          <w:tcPr>
            <w:tcW w:w="6948" w:type="dxa"/>
          </w:tcPr>
          <w:p w:rsidR="00EA395B" w:rsidRPr="00D55230" w:rsidRDefault="00EA395B" w:rsidP="00BB0D96">
            <w:pPr>
              <w:rPr>
                <w:rFonts w:eastAsia="Times New Roman" w:cs="Arial"/>
                <w:b/>
                <w:color w:val="000000"/>
              </w:rPr>
            </w:pPr>
            <w:r w:rsidRPr="00D55230">
              <w:rPr>
                <w:rFonts w:eastAsia="Times New Roman" w:cs="Arial"/>
                <w:b/>
                <w:color w:val="000000"/>
              </w:rPr>
              <w:t>Early Intervention</w:t>
            </w:r>
          </w:p>
          <w:p w:rsidR="00EA395B" w:rsidRPr="00886BD6" w:rsidRDefault="00EA395B" w:rsidP="00BB0D96">
            <w:pPr>
              <w:rPr>
                <w:rFonts w:eastAsia="Times New Roman" w:cs="Arial"/>
                <w:b/>
                <w:color w:val="000000"/>
              </w:rPr>
            </w:pPr>
            <w:r w:rsidRPr="003E4575">
              <w:rPr>
                <w:rFonts w:eastAsia="Times New Roman" w:cs="Arial"/>
                <w:color w:val="000000"/>
                <w:sz w:val="18"/>
                <w:szCs w:val="18"/>
              </w:rPr>
              <w:t>Source: Catalyst Center communications with state agency contacts and review of state statutes (2011)</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Yes=9</w:t>
            </w:r>
          </w:p>
        </w:tc>
      </w:tr>
      <w:tr w:rsidR="00EA395B" w:rsidTr="00EA395B">
        <w:tc>
          <w:tcPr>
            <w:tcW w:w="6948" w:type="dxa"/>
          </w:tcPr>
          <w:p w:rsidR="00EA395B" w:rsidRPr="00D55230" w:rsidRDefault="00EA395B" w:rsidP="00BB0D96">
            <w:pPr>
              <w:rPr>
                <w:rFonts w:eastAsia="Times New Roman" w:cs="Arial"/>
                <w:b/>
                <w:color w:val="000000"/>
              </w:rPr>
            </w:pPr>
            <w:r w:rsidRPr="00D55230">
              <w:rPr>
                <w:rFonts w:eastAsia="Times New Roman" w:cs="Arial"/>
                <w:b/>
                <w:color w:val="000000"/>
              </w:rPr>
              <w:t>Emergency Services</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Yes=45</w:t>
            </w:r>
          </w:p>
        </w:tc>
      </w:tr>
      <w:tr w:rsidR="00EA395B" w:rsidTr="00EA395B">
        <w:tc>
          <w:tcPr>
            <w:tcW w:w="6948" w:type="dxa"/>
          </w:tcPr>
          <w:p w:rsidR="00EA395B" w:rsidRPr="00D55230" w:rsidRDefault="00EA395B" w:rsidP="00BB0D96">
            <w:pPr>
              <w:rPr>
                <w:rFonts w:eastAsia="Times New Roman" w:cs="Arial"/>
                <w:b/>
                <w:color w:val="000000"/>
              </w:rPr>
            </w:pPr>
            <w:r w:rsidRPr="00D55230">
              <w:rPr>
                <w:rFonts w:eastAsia="Times New Roman" w:cs="Arial"/>
                <w:b/>
                <w:color w:val="000000"/>
              </w:rPr>
              <w:t>Hearing Aids</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Yes=17</w:t>
            </w:r>
          </w:p>
        </w:tc>
      </w:tr>
      <w:tr w:rsidR="00EA395B" w:rsidTr="00EA395B">
        <w:tc>
          <w:tcPr>
            <w:tcW w:w="6948" w:type="dxa"/>
          </w:tcPr>
          <w:p w:rsidR="00EA395B" w:rsidRPr="00D55230" w:rsidRDefault="00EA395B" w:rsidP="00BB0D96">
            <w:pPr>
              <w:rPr>
                <w:rFonts w:eastAsia="Times New Roman" w:cs="Arial"/>
                <w:b/>
                <w:color w:val="000000"/>
              </w:rPr>
            </w:pPr>
            <w:r w:rsidRPr="00D55230">
              <w:rPr>
                <w:rFonts w:eastAsia="Times New Roman" w:cs="Arial"/>
                <w:b/>
                <w:color w:val="000000"/>
              </w:rPr>
              <w:t>Home Health Care</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Yes=20</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lastRenderedPageBreak/>
              <w:t>Hospice Care</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Yes=12</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t>Kidney Disease Treatment</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Yes=2</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t>Mental Health, General</w:t>
            </w:r>
          </w:p>
          <w:p w:rsidR="00EA395B" w:rsidRPr="00886BD6" w:rsidRDefault="00EA395B" w:rsidP="00BB0D96">
            <w:pPr>
              <w:rPr>
                <w:rFonts w:eastAsia="Times New Roman" w:cs="Arial"/>
                <w:b/>
                <w:color w:val="000000"/>
              </w:rPr>
            </w:pPr>
            <w:r w:rsidRPr="003E4575">
              <w:rPr>
                <w:rFonts w:eastAsia="Times New Roman" w:cs="Arial"/>
                <w:color w:val="000000"/>
                <w:sz w:val="18"/>
                <w:szCs w:val="18"/>
              </w:rPr>
              <w:t>Source: Center for Affordable Health Insurance (2010)</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Yes=42</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t>Mental Health Parity</w:t>
            </w:r>
          </w:p>
          <w:p w:rsidR="00EA395B" w:rsidRPr="00886BD6" w:rsidRDefault="00EA395B" w:rsidP="00BB0D96">
            <w:pPr>
              <w:rPr>
                <w:rFonts w:eastAsia="Times New Roman" w:cs="Arial"/>
                <w:b/>
                <w:color w:val="000000"/>
              </w:rPr>
            </w:pPr>
            <w:r w:rsidRPr="00AB1CDA">
              <w:rPr>
                <w:rFonts w:eastAsia="Times New Roman" w:cs="Arial"/>
                <w:color w:val="000000"/>
                <w:sz w:val="18"/>
                <w:szCs w:val="18"/>
              </w:rPr>
              <w:t>Source: National Conference of State Legislatures (2014)</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Yes=23</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t>Neurodevelopment Therapy</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Yes=1</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t>Newborn Hearing Screening</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Yes=18</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t>Newborn Sickle-Cell Testing</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Yes=4</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t>PKU/Formula</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Yes=33</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t>Prescription Drugs</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Yes=4</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t>Rehabilitation Services</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Yes=6</w:t>
            </w:r>
          </w:p>
        </w:tc>
      </w:tr>
      <w:tr w:rsidR="00EA395B" w:rsidTr="00EA395B">
        <w:tc>
          <w:tcPr>
            <w:tcW w:w="6948" w:type="dxa"/>
          </w:tcPr>
          <w:p w:rsidR="00EA395B" w:rsidRPr="00A306DF" w:rsidRDefault="00EA395B" w:rsidP="00BB0D96">
            <w:pPr>
              <w:rPr>
                <w:rFonts w:eastAsia="Times New Roman" w:cs="Arial"/>
                <w:b/>
                <w:color w:val="000000"/>
              </w:rPr>
            </w:pPr>
            <w:r w:rsidRPr="00A306DF">
              <w:rPr>
                <w:rFonts w:eastAsia="Times New Roman" w:cs="Arial"/>
                <w:b/>
                <w:color w:val="000000"/>
              </w:rPr>
              <w:t>Telemedicine</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No</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Yes=9</w:t>
            </w:r>
          </w:p>
        </w:tc>
      </w:tr>
      <w:tr w:rsidR="00EA395B" w:rsidTr="00EA395B">
        <w:tc>
          <w:tcPr>
            <w:tcW w:w="6948" w:type="dxa"/>
          </w:tcPr>
          <w:p w:rsidR="00EA395B" w:rsidRPr="00A306DF" w:rsidRDefault="00EA395B" w:rsidP="00BB0D96">
            <w:pPr>
              <w:rPr>
                <w:rFonts w:eastAsia="Times New Roman" w:cs="Arial"/>
                <w:color w:val="000000"/>
                <w:sz w:val="14"/>
                <w:szCs w:val="14"/>
              </w:rPr>
            </w:pPr>
            <w:r w:rsidRPr="003E4575">
              <w:rPr>
                <w:rFonts w:eastAsia="Times New Roman" w:cs="Arial"/>
                <w:color w:val="000000"/>
                <w:sz w:val="18"/>
                <w:szCs w:val="18"/>
              </w:rPr>
              <w:t>Source: Center for Affordable Health Insurance (2010)</w:t>
            </w:r>
            <w:r>
              <w:rPr>
                <w:rFonts w:eastAsia="Times New Roman" w:cs="Arial"/>
                <w:color w:val="000000"/>
                <w:sz w:val="20"/>
                <w:szCs w:val="20"/>
              </w:rPr>
              <w:br/>
            </w:r>
            <w:r w:rsidRPr="00F75F51">
              <w:rPr>
                <w:rFonts w:eastAsia="Times New Roman" w:cs="Arial"/>
                <w:color w:val="000000"/>
                <w:sz w:val="20"/>
                <w:szCs w:val="20"/>
              </w:rPr>
              <w:t>Tip</w:t>
            </w:r>
            <w:r w:rsidRPr="003E4575">
              <w:rPr>
                <w:rFonts w:eastAsia="Times New Roman" w:cs="Arial"/>
                <w:color w:val="000000"/>
                <w:sz w:val="20"/>
                <w:szCs w:val="20"/>
              </w:rPr>
              <w:t xml:space="preserve">: For updated information on each state's specific mandated benefits, go to </w:t>
            </w:r>
            <w:hyperlink r:id="rId19" w:tgtFrame="_blank" w:history="1">
              <w:r w:rsidRPr="00F75F51">
                <w:rPr>
                  <w:rStyle w:val="Hyperlink"/>
                  <w:rFonts w:eastAsia="Times New Roman" w:cs="Arial"/>
                  <w:bCs/>
                  <w:color w:val="000066"/>
                  <w:sz w:val="20"/>
                  <w:szCs w:val="20"/>
                </w:rPr>
                <w:t>http://www.cms.gov/cciio/resources/data-resources/ehb.html</w:t>
              </w:r>
            </w:hyperlink>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r w:rsidR="00EA395B" w:rsidTr="00EA395B">
        <w:tc>
          <w:tcPr>
            <w:tcW w:w="6948" w:type="dxa"/>
            <w:shd w:val="clear" w:color="auto" w:fill="BFBFBF" w:themeFill="background1" w:themeFillShade="BF"/>
          </w:tcPr>
          <w:p w:rsidR="00EA395B" w:rsidRPr="006E42E1" w:rsidRDefault="00EA395B" w:rsidP="00BB0D96">
            <w:pPr>
              <w:rPr>
                <w:b/>
              </w:rPr>
            </w:pPr>
            <w:r w:rsidRPr="006E42E1">
              <w:rPr>
                <w:b/>
              </w:rPr>
              <w:t>Catastrophic Coverage</w:t>
            </w:r>
          </w:p>
        </w:tc>
        <w:tc>
          <w:tcPr>
            <w:tcW w:w="1350"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6948" w:type="dxa"/>
          </w:tcPr>
          <w:p w:rsidR="00EA395B" w:rsidRPr="00D55230" w:rsidRDefault="00EA395B" w:rsidP="00BB0D96">
            <w:pPr>
              <w:rPr>
                <w:rFonts w:eastAsia="Times New Roman" w:cs="Arial"/>
                <w:color w:val="000000"/>
              </w:rPr>
            </w:pPr>
            <w:r w:rsidRPr="00D55230">
              <w:rPr>
                <w:rFonts w:eastAsia="Times New Roman" w:cs="Arial"/>
                <w:b/>
                <w:color w:val="000000"/>
              </w:rPr>
              <w:t>High-Risk Pool Programs</w:t>
            </w:r>
          </w:p>
        </w:tc>
        <w:tc>
          <w:tcPr>
            <w:tcW w:w="1350"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w:t>
            </w:r>
          </w:p>
        </w:tc>
        <w:tc>
          <w:tcPr>
            <w:tcW w:w="1278" w:type="dxa"/>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Yes=34</w:t>
            </w:r>
          </w:p>
        </w:tc>
      </w:tr>
      <w:tr w:rsidR="00EA395B" w:rsidTr="00EA395B">
        <w:tc>
          <w:tcPr>
            <w:tcW w:w="6948" w:type="dxa"/>
          </w:tcPr>
          <w:p w:rsidR="00EA395B" w:rsidRPr="003E4575" w:rsidRDefault="00EA395B" w:rsidP="00BB0D96">
            <w:pPr>
              <w:rPr>
                <w:rFonts w:eastAsia="Times New Roman" w:cs="Arial"/>
                <w:color w:val="000000"/>
                <w:sz w:val="18"/>
                <w:szCs w:val="18"/>
              </w:rPr>
            </w:pPr>
            <w:r w:rsidRPr="006478B2">
              <w:rPr>
                <w:rFonts w:eastAsia="Times New Roman" w:cs="Arial"/>
                <w:color w:val="000000"/>
                <w:sz w:val="18"/>
                <w:szCs w:val="18"/>
              </w:rPr>
              <w:t>Source: Kaiser Family Foundation (2011)</w:t>
            </w:r>
          </w:p>
        </w:tc>
        <w:tc>
          <w:tcPr>
            <w:tcW w:w="1350" w:type="dxa"/>
          </w:tcPr>
          <w:p w:rsidR="00EA395B" w:rsidRPr="00F6227A" w:rsidRDefault="00EA395B" w:rsidP="00BB0D96">
            <w:pPr>
              <w:rPr>
                <w:rFonts w:eastAsia="Times New Roman" w:cs="Arial"/>
                <w:b/>
                <w:color w:val="000000"/>
                <w:sz w:val="20"/>
                <w:szCs w:val="20"/>
              </w:rPr>
            </w:pPr>
          </w:p>
        </w:tc>
        <w:tc>
          <w:tcPr>
            <w:tcW w:w="1278" w:type="dxa"/>
          </w:tcPr>
          <w:p w:rsidR="00EA395B" w:rsidRPr="00F6227A" w:rsidRDefault="00EA395B" w:rsidP="00BB0D96">
            <w:pPr>
              <w:rPr>
                <w:rFonts w:eastAsia="Times New Roman" w:cs="Arial"/>
                <w:b/>
                <w:color w:val="000000"/>
                <w:sz w:val="20"/>
                <w:szCs w:val="20"/>
              </w:rPr>
            </w:pPr>
          </w:p>
        </w:tc>
      </w:tr>
    </w:tbl>
    <w:p w:rsidR="00EA395B" w:rsidRDefault="00EA395B" w:rsidP="00EA395B"/>
    <w:tbl>
      <w:tblPr>
        <w:tblStyle w:val="TableGrid"/>
        <w:tblW w:w="0" w:type="auto"/>
        <w:tblLayout w:type="fixed"/>
        <w:tblCellMar>
          <w:top w:w="29" w:type="dxa"/>
          <w:left w:w="115" w:type="dxa"/>
          <w:bottom w:w="29" w:type="dxa"/>
          <w:right w:w="115" w:type="dxa"/>
        </w:tblCellMar>
        <w:tblLook w:val="0620" w:firstRow="1" w:lastRow="0" w:firstColumn="0" w:lastColumn="0" w:noHBand="1" w:noVBand="1"/>
        <w:tblCaption w:val="Table: Experience with the System of Care for CSHCN"/>
        <w:tblDescription w:val="Montana and US statistics for: Federal MCHB Outcomes for CSHCN"/>
      </w:tblPr>
      <w:tblGrid>
        <w:gridCol w:w="6948"/>
        <w:gridCol w:w="1350"/>
        <w:gridCol w:w="1278"/>
      </w:tblGrid>
      <w:tr w:rsidR="00EA395B" w:rsidTr="00EA395B">
        <w:trPr>
          <w:tblHeader/>
        </w:trPr>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97081C" w:rsidRDefault="00EA395B" w:rsidP="00BB0D96">
            <w:pPr>
              <w:rPr>
                <w:b/>
              </w:rPr>
            </w:pPr>
            <w:r w:rsidRPr="00F4177F">
              <w:rPr>
                <w:b/>
                <w:sz w:val="28"/>
                <w:szCs w:val="28"/>
              </w:rPr>
              <w:t xml:space="preserve">Table: </w:t>
            </w:r>
            <w:r w:rsidRPr="00193283">
              <w:rPr>
                <w:rFonts w:eastAsia="Times New Roman"/>
                <w:b/>
                <w:sz w:val="28"/>
                <w:szCs w:val="28"/>
              </w:rPr>
              <w:t>EXPERIENCE WITH THE SYSTEM OF CARE FOR CSHCN</w:t>
            </w:r>
          </w:p>
        </w:tc>
      </w:tr>
      <w:tr w:rsidR="00EA395B" w:rsidTr="00EA395B">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193283" w:rsidRDefault="00EA395B" w:rsidP="00BB0D96">
            <w:pPr>
              <w:rPr>
                <w:b/>
              </w:rPr>
            </w:pPr>
            <w:r w:rsidRPr="00193283">
              <w:rPr>
                <w:b/>
              </w:rPr>
              <w:t>Federal MCHB Core Outcomes for CSHCN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Montana</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US</w:t>
            </w:r>
          </w:p>
        </w:tc>
      </w:tr>
      <w:tr w:rsidR="00EA395B" w:rsidTr="00EA395B">
        <w:tc>
          <w:tcPr>
            <w:tcW w:w="6948" w:type="dxa"/>
            <w:tcBorders>
              <w:top w:val="single" w:sz="4" w:space="0" w:color="000000" w:themeColor="text1"/>
            </w:tcBorders>
          </w:tcPr>
          <w:p w:rsidR="00EA395B" w:rsidRPr="0067438C" w:rsidRDefault="00EA395B" w:rsidP="00BB0D96">
            <w:pPr>
              <w:rPr>
                <w:rFonts w:eastAsia="Times New Roman" w:cs="Arial"/>
                <w:b/>
                <w:color w:val="000000"/>
              </w:rPr>
            </w:pPr>
            <w:r w:rsidRPr="0067438C">
              <w:rPr>
                <w:rFonts w:eastAsia="Times New Roman" w:cs="Arial"/>
                <w:b/>
                <w:color w:val="000000"/>
              </w:rPr>
              <w:t>Percentage of CSHCN whose families are partners in shared decision-making for child's optimal health</w:t>
            </w:r>
          </w:p>
          <w:p w:rsidR="00EA395B" w:rsidRPr="0038041A" w:rsidRDefault="00EA395B" w:rsidP="00BB0D96">
            <w:pPr>
              <w:rPr>
                <w:sz w:val="20"/>
                <w:szCs w:val="20"/>
              </w:rPr>
            </w:pPr>
            <w:r w:rsidRPr="0038041A">
              <w:rPr>
                <w:sz w:val="20"/>
                <w:szCs w:val="20"/>
              </w:rPr>
              <w:t>Source: National Survey of Children with Specia</w:t>
            </w:r>
            <w:r>
              <w:rPr>
                <w:sz w:val="20"/>
                <w:szCs w:val="20"/>
              </w:rPr>
              <w:t>l Health Care Needs (2009-2010)</w:t>
            </w:r>
          </w:p>
          <w:p w:rsidR="00EA395B" w:rsidRPr="0097081C" w:rsidRDefault="00EA395B" w:rsidP="00BB0D96">
            <w:pPr>
              <w:rPr>
                <w:b/>
              </w:rPr>
            </w:pPr>
            <w:r w:rsidRPr="0038041A">
              <w:rPr>
                <w:sz w:val="20"/>
                <w:szCs w:val="20"/>
              </w:rPr>
              <w:t>Tip: Corresponds with the MCHB Block Grant Performance Measure: The percent of CSHCN age 0 to 18 whose families partner in decision-making at all levels and are satisfied with the services they receive.</w:t>
            </w:r>
          </w:p>
        </w:tc>
        <w:tc>
          <w:tcPr>
            <w:tcW w:w="1350" w:type="dxa"/>
            <w:tcBorders>
              <w:top w:val="single" w:sz="4" w:space="0" w:color="000000" w:themeColor="text1"/>
            </w:tcBorders>
          </w:tcPr>
          <w:p w:rsidR="00EA395B" w:rsidRDefault="00EA395B" w:rsidP="00BB0D96">
            <w:r w:rsidRPr="00F6227A">
              <w:rPr>
                <w:rFonts w:eastAsia="Times New Roman" w:cs="Arial"/>
                <w:b/>
                <w:color w:val="000000"/>
                <w:sz w:val="20"/>
                <w:szCs w:val="20"/>
              </w:rPr>
              <w:t>72.9%</w:t>
            </w:r>
          </w:p>
        </w:tc>
        <w:tc>
          <w:tcPr>
            <w:tcW w:w="1278" w:type="dxa"/>
            <w:tcBorders>
              <w:top w:val="single" w:sz="4" w:space="0" w:color="000000" w:themeColor="text1"/>
            </w:tcBorders>
          </w:tcPr>
          <w:p w:rsidR="00EA395B" w:rsidRDefault="00EA395B" w:rsidP="00BB0D96">
            <w:r w:rsidRPr="00F6227A">
              <w:rPr>
                <w:rFonts w:eastAsia="Times New Roman" w:cs="Arial"/>
                <w:b/>
                <w:color w:val="000000"/>
                <w:sz w:val="20"/>
                <w:szCs w:val="20"/>
              </w:rPr>
              <w:t>70.3%</w:t>
            </w:r>
          </w:p>
          <w:p w:rsidR="00EA395B" w:rsidRPr="00BF5DD7" w:rsidRDefault="00EA395B" w:rsidP="00BB0D96"/>
        </w:tc>
      </w:tr>
      <w:tr w:rsidR="00EA395B" w:rsidTr="00EA395B">
        <w:tc>
          <w:tcPr>
            <w:tcW w:w="6948" w:type="dxa"/>
          </w:tcPr>
          <w:p w:rsidR="00EA395B" w:rsidRPr="0067438C" w:rsidRDefault="00EA395B" w:rsidP="00BB0D96">
            <w:pPr>
              <w:rPr>
                <w:rFonts w:eastAsia="Times New Roman" w:cs="Arial"/>
                <w:b/>
                <w:color w:val="000000"/>
              </w:rPr>
            </w:pPr>
            <w:r w:rsidRPr="0067438C">
              <w:rPr>
                <w:rFonts w:eastAsia="Times New Roman" w:cs="Arial"/>
                <w:b/>
                <w:color w:val="000000"/>
              </w:rPr>
              <w:t>Percentage of CSHCN who receive coordinated, ongoing, comprehensive care within a medical home</w:t>
            </w:r>
          </w:p>
          <w:p w:rsidR="00EA395B" w:rsidRPr="0038041A" w:rsidRDefault="00EA395B" w:rsidP="00BB0D96">
            <w:pPr>
              <w:rPr>
                <w:sz w:val="20"/>
                <w:szCs w:val="20"/>
              </w:rPr>
            </w:pPr>
            <w:r w:rsidRPr="0038041A">
              <w:rPr>
                <w:sz w:val="20"/>
                <w:szCs w:val="20"/>
              </w:rPr>
              <w:t>Source: National Survey of Children with Specia</w:t>
            </w:r>
            <w:r>
              <w:rPr>
                <w:sz w:val="20"/>
                <w:szCs w:val="20"/>
              </w:rPr>
              <w:t>l Health Care Needs (2009-2010)</w:t>
            </w:r>
          </w:p>
          <w:p w:rsidR="00EA395B" w:rsidRDefault="00EA395B" w:rsidP="00BB0D96">
            <w:r w:rsidRPr="0038041A">
              <w:rPr>
                <w:sz w:val="20"/>
                <w:szCs w:val="20"/>
              </w:rPr>
              <w:t>Tip: Corresponds with the MCHB Block Grant Performance Measure: The percent of CSHCN age 0 to 18 who receive coordinated, ongoing, comprehensive care within a medical home.</w:t>
            </w:r>
          </w:p>
        </w:tc>
        <w:tc>
          <w:tcPr>
            <w:tcW w:w="1350" w:type="dxa"/>
          </w:tcPr>
          <w:p w:rsidR="00EA395B" w:rsidRDefault="00EA395B" w:rsidP="00BB0D96">
            <w:r w:rsidRPr="00F6227A">
              <w:rPr>
                <w:rFonts w:eastAsia="Times New Roman" w:cs="Arial"/>
                <w:b/>
                <w:color w:val="000000"/>
                <w:sz w:val="20"/>
                <w:szCs w:val="20"/>
              </w:rPr>
              <w:t>39.1%</w:t>
            </w:r>
          </w:p>
        </w:tc>
        <w:tc>
          <w:tcPr>
            <w:tcW w:w="1278" w:type="dxa"/>
          </w:tcPr>
          <w:p w:rsidR="00EA395B" w:rsidRDefault="00EA395B" w:rsidP="00BB0D96">
            <w:r w:rsidRPr="00F6227A">
              <w:rPr>
                <w:rFonts w:eastAsia="Times New Roman" w:cs="Arial"/>
                <w:b/>
                <w:color w:val="000000"/>
                <w:sz w:val="20"/>
                <w:szCs w:val="20"/>
              </w:rPr>
              <w:t>43.0%</w:t>
            </w:r>
          </w:p>
        </w:tc>
      </w:tr>
      <w:tr w:rsidR="00EA395B" w:rsidTr="00EA395B">
        <w:tc>
          <w:tcPr>
            <w:tcW w:w="6948" w:type="dxa"/>
          </w:tcPr>
          <w:p w:rsidR="00EA395B" w:rsidRPr="0067438C" w:rsidRDefault="00EA395B" w:rsidP="00BB0D96">
            <w:pPr>
              <w:rPr>
                <w:rFonts w:eastAsia="Times New Roman" w:cs="Arial"/>
                <w:b/>
                <w:color w:val="000000"/>
              </w:rPr>
            </w:pPr>
            <w:r w:rsidRPr="0067438C">
              <w:rPr>
                <w:rFonts w:eastAsia="Times New Roman" w:cs="Arial"/>
                <w:b/>
                <w:color w:val="000000"/>
              </w:rPr>
              <w:t>Percentage of CSHCN whose families have consistent and adequate private and/or public insurance to pay for the services they need</w:t>
            </w:r>
          </w:p>
          <w:p w:rsidR="00EA395B" w:rsidRPr="0038041A" w:rsidRDefault="00EA395B" w:rsidP="00BB0D96">
            <w:pPr>
              <w:rPr>
                <w:sz w:val="20"/>
                <w:szCs w:val="20"/>
              </w:rPr>
            </w:pPr>
            <w:r w:rsidRPr="0038041A">
              <w:rPr>
                <w:sz w:val="20"/>
                <w:szCs w:val="20"/>
              </w:rPr>
              <w:t>Source: National Survey of Children with Special Health Care Needs (2009-2010)</w:t>
            </w:r>
          </w:p>
          <w:p w:rsidR="00EA395B" w:rsidRPr="00D96EAA" w:rsidRDefault="00EA395B" w:rsidP="00BB0D96">
            <w:r w:rsidRPr="0038041A">
              <w:rPr>
                <w:sz w:val="20"/>
                <w:szCs w:val="20"/>
              </w:rPr>
              <w:t>Tip: Corresponds with the MCHB Block Grant Performance Measure: The percent of CSHCN age 0 to 18 whose families have adequate private and/or public insurance to pay for the services they need.</w:t>
            </w:r>
          </w:p>
        </w:tc>
        <w:tc>
          <w:tcPr>
            <w:tcW w:w="1350" w:type="dxa"/>
          </w:tcPr>
          <w:p w:rsidR="00EA395B" w:rsidRPr="00F6227A" w:rsidRDefault="00EA395B" w:rsidP="00BB0D96">
            <w:pPr>
              <w:rPr>
                <w:rFonts w:eastAsia="Times New Roman" w:cs="Arial"/>
                <w:b/>
                <w:color w:val="000000"/>
              </w:rPr>
            </w:pPr>
            <w:r w:rsidRPr="00F6227A">
              <w:rPr>
                <w:rFonts w:eastAsia="Times New Roman" w:cs="Arial"/>
                <w:b/>
                <w:color w:val="000000"/>
                <w:sz w:val="20"/>
                <w:szCs w:val="20"/>
              </w:rPr>
              <w:t>53.3%</w:t>
            </w:r>
          </w:p>
        </w:tc>
        <w:tc>
          <w:tcPr>
            <w:tcW w:w="1278" w:type="dxa"/>
          </w:tcPr>
          <w:p w:rsidR="00EA395B" w:rsidRPr="00F6227A" w:rsidRDefault="00EA395B" w:rsidP="00BB0D96">
            <w:pPr>
              <w:rPr>
                <w:rFonts w:eastAsia="Times New Roman" w:cs="Arial"/>
                <w:b/>
                <w:color w:val="000000"/>
              </w:rPr>
            </w:pPr>
            <w:r w:rsidRPr="00F6227A">
              <w:rPr>
                <w:rFonts w:eastAsia="Times New Roman" w:cs="Arial"/>
                <w:b/>
                <w:color w:val="000000"/>
                <w:sz w:val="20"/>
                <w:szCs w:val="20"/>
              </w:rPr>
              <w:t>60.6%</w:t>
            </w:r>
          </w:p>
        </w:tc>
      </w:tr>
      <w:tr w:rsidR="00EA395B" w:rsidTr="00EA395B">
        <w:tc>
          <w:tcPr>
            <w:tcW w:w="6948" w:type="dxa"/>
          </w:tcPr>
          <w:p w:rsidR="00EA395B" w:rsidRPr="0067438C" w:rsidRDefault="00EA395B" w:rsidP="00BB0D96">
            <w:pPr>
              <w:rPr>
                <w:rFonts w:eastAsia="Times New Roman" w:cs="Arial"/>
                <w:b/>
                <w:color w:val="000000"/>
              </w:rPr>
            </w:pPr>
            <w:r w:rsidRPr="0067438C">
              <w:rPr>
                <w:rFonts w:eastAsia="Times New Roman" w:cs="Arial"/>
                <w:b/>
                <w:color w:val="000000"/>
              </w:rPr>
              <w:lastRenderedPageBreak/>
              <w:t>Percentage of CSHCN who are screened early and continuously for special health care needs</w:t>
            </w:r>
          </w:p>
          <w:p w:rsidR="00EA395B" w:rsidRPr="003F03C5" w:rsidRDefault="00EA395B" w:rsidP="00BB0D96">
            <w:pPr>
              <w:rPr>
                <w:sz w:val="18"/>
                <w:szCs w:val="18"/>
              </w:rPr>
            </w:pPr>
            <w:r w:rsidRPr="003F03C5">
              <w:rPr>
                <w:sz w:val="18"/>
                <w:szCs w:val="18"/>
              </w:rPr>
              <w:t xml:space="preserve">Source: National Survey of Children with Special Health Care Needs (2009-2010) </w:t>
            </w:r>
          </w:p>
          <w:p w:rsidR="00EA395B" w:rsidRPr="00D96EAA" w:rsidRDefault="00EA395B" w:rsidP="00BB0D96">
            <w:r w:rsidRPr="003F03C5">
              <w:rPr>
                <w:sz w:val="18"/>
                <w:szCs w:val="18"/>
              </w:rPr>
              <w:t>Tip: Corresponds with the MCHB Block Grant Period</w:t>
            </w:r>
          </w:p>
        </w:tc>
        <w:tc>
          <w:tcPr>
            <w:tcW w:w="1350" w:type="dxa"/>
          </w:tcPr>
          <w:p w:rsidR="00EA395B" w:rsidRPr="00F6227A" w:rsidRDefault="00EA395B" w:rsidP="00BB0D96">
            <w:pPr>
              <w:rPr>
                <w:rFonts w:eastAsia="Times New Roman" w:cs="Arial"/>
                <w:b/>
                <w:color w:val="000000"/>
              </w:rPr>
            </w:pPr>
            <w:r w:rsidRPr="00F6227A">
              <w:rPr>
                <w:rFonts w:eastAsia="Times New Roman" w:cs="Arial"/>
                <w:b/>
                <w:color w:val="000000"/>
                <w:sz w:val="20"/>
                <w:szCs w:val="20"/>
              </w:rPr>
              <w:t>70.6%</w:t>
            </w:r>
          </w:p>
        </w:tc>
        <w:tc>
          <w:tcPr>
            <w:tcW w:w="1278" w:type="dxa"/>
          </w:tcPr>
          <w:p w:rsidR="00EA395B" w:rsidRPr="00F6227A" w:rsidRDefault="00EA395B" w:rsidP="00BB0D96">
            <w:pPr>
              <w:rPr>
                <w:rFonts w:eastAsia="Times New Roman" w:cs="Arial"/>
                <w:b/>
                <w:color w:val="000000"/>
              </w:rPr>
            </w:pPr>
            <w:r w:rsidRPr="00F6227A">
              <w:rPr>
                <w:rFonts w:eastAsia="Times New Roman" w:cs="Arial"/>
                <w:b/>
                <w:color w:val="000000"/>
                <w:sz w:val="20"/>
                <w:szCs w:val="20"/>
              </w:rPr>
              <w:t>78.6%</w:t>
            </w:r>
          </w:p>
        </w:tc>
      </w:tr>
      <w:tr w:rsidR="00EA395B" w:rsidTr="00EA395B">
        <w:tc>
          <w:tcPr>
            <w:tcW w:w="6948" w:type="dxa"/>
          </w:tcPr>
          <w:p w:rsidR="00EA395B" w:rsidRPr="00AB1CDA" w:rsidRDefault="00EA395B" w:rsidP="00BB0D96">
            <w:pPr>
              <w:rPr>
                <w:rFonts w:eastAsia="Times New Roman" w:cs="Arial"/>
                <w:color w:val="000000"/>
                <w:sz w:val="18"/>
                <w:szCs w:val="18"/>
              </w:rPr>
            </w:pPr>
            <w:r w:rsidRPr="00AB1CDA">
              <w:rPr>
                <w:rFonts w:eastAsia="Times New Roman" w:cs="Arial"/>
                <w:color w:val="000000"/>
                <w:sz w:val="18"/>
                <w:szCs w:val="18"/>
              </w:rPr>
              <w:t xml:space="preserve">Performance Measure: The percent of screen positive newborns who received timely follow up to definitive diagnosis and clinical management for condition(s) mandated by their State-sponsored newborn screening programs. </w:t>
            </w:r>
          </w:p>
          <w:p w:rsidR="00EA395B" w:rsidRPr="0067438C" w:rsidRDefault="00EA395B" w:rsidP="00BB0D96">
            <w:pPr>
              <w:rPr>
                <w:rFonts w:eastAsia="Times New Roman" w:cs="Arial"/>
                <w:color w:val="000000"/>
              </w:rPr>
            </w:pPr>
            <w:r w:rsidRPr="0067438C">
              <w:rPr>
                <w:rFonts w:eastAsia="Times New Roman" w:cs="Arial"/>
                <w:b/>
                <w:color w:val="000000"/>
              </w:rPr>
              <w:t>Percentage of CSHCN who can easily access community based services</w:t>
            </w:r>
          </w:p>
        </w:tc>
        <w:tc>
          <w:tcPr>
            <w:tcW w:w="1350" w:type="dxa"/>
          </w:tcPr>
          <w:p w:rsidR="00EA395B" w:rsidRPr="00F6227A" w:rsidRDefault="00EA395B" w:rsidP="00BB0D96">
            <w:pPr>
              <w:rPr>
                <w:rFonts w:eastAsia="Times New Roman" w:cs="Arial"/>
                <w:b/>
                <w:color w:val="000000"/>
              </w:rPr>
            </w:pPr>
            <w:r w:rsidRPr="00F6227A">
              <w:rPr>
                <w:rFonts w:eastAsia="Times New Roman" w:cs="Arial"/>
                <w:b/>
                <w:color w:val="000000"/>
                <w:sz w:val="20"/>
                <w:szCs w:val="20"/>
              </w:rPr>
              <w:t>54.3%</w:t>
            </w:r>
          </w:p>
        </w:tc>
        <w:tc>
          <w:tcPr>
            <w:tcW w:w="1278" w:type="dxa"/>
          </w:tcPr>
          <w:p w:rsidR="00EA395B" w:rsidRPr="00F6227A" w:rsidRDefault="00EA395B" w:rsidP="00BB0D96">
            <w:pPr>
              <w:rPr>
                <w:rFonts w:eastAsia="Times New Roman" w:cs="Arial"/>
                <w:b/>
                <w:color w:val="000000"/>
              </w:rPr>
            </w:pPr>
            <w:r w:rsidRPr="00F6227A">
              <w:rPr>
                <w:rFonts w:eastAsia="Times New Roman" w:cs="Arial"/>
                <w:b/>
                <w:color w:val="000000"/>
                <w:sz w:val="20"/>
                <w:szCs w:val="20"/>
              </w:rPr>
              <w:t>65.1%</w:t>
            </w:r>
          </w:p>
        </w:tc>
      </w:tr>
      <w:tr w:rsidR="003F03C5" w:rsidTr="00EA395B">
        <w:tc>
          <w:tcPr>
            <w:tcW w:w="6948" w:type="dxa"/>
          </w:tcPr>
          <w:p w:rsidR="003F03C5" w:rsidRPr="0067438C" w:rsidRDefault="003F03C5" w:rsidP="003F03C5">
            <w:pPr>
              <w:rPr>
                <w:rFonts w:eastAsia="Times New Roman" w:cs="Arial"/>
                <w:b/>
                <w:color w:val="000000"/>
              </w:rPr>
            </w:pPr>
            <w:r w:rsidRPr="0067438C">
              <w:rPr>
                <w:rFonts w:eastAsia="Times New Roman" w:cs="Arial"/>
                <w:b/>
                <w:color w:val="000000"/>
              </w:rPr>
              <w:t>Percentage of youth with special health care needs who receive the services necessary to make appropriate transitions to adult health care, work, and independence -- CSHCN ages 12-17 only</w:t>
            </w:r>
          </w:p>
          <w:p w:rsidR="003F03C5" w:rsidRPr="0038041A" w:rsidRDefault="003F03C5" w:rsidP="003F03C5">
            <w:pPr>
              <w:rPr>
                <w:rFonts w:eastAsia="Times New Roman" w:cs="Arial"/>
                <w:color w:val="000000"/>
                <w:sz w:val="18"/>
                <w:szCs w:val="18"/>
              </w:rPr>
            </w:pPr>
            <w:r w:rsidRPr="0038041A">
              <w:rPr>
                <w:rFonts w:eastAsia="Times New Roman" w:cs="Arial"/>
                <w:color w:val="000000"/>
                <w:sz w:val="18"/>
                <w:szCs w:val="18"/>
              </w:rPr>
              <w:t>Source: National Survey of Children with Special Health Care Needs (2009-2010)</w:t>
            </w:r>
          </w:p>
          <w:p w:rsidR="003F03C5" w:rsidRPr="00AB1CDA" w:rsidRDefault="003F03C5" w:rsidP="003F03C5">
            <w:pPr>
              <w:rPr>
                <w:rFonts w:eastAsia="Times New Roman" w:cs="Arial"/>
                <w:color w:val="000000"/>
                <w:sz w:val="18"/>
                <w:szCs w:val="18"/>
              </w:rPr>
            </w:pPr>
            <w:r w:rsidRPr="0038041A">
              <w:rPr>
                <w:rFonts w:eastAsia="Times New Roman" w:cs="Arial"/>
                <w:color w:val="000000"/>
                <w:sz w:val="18"/>
                <w:szCs w:val="18"/>
              </w:rPr>
              <w:t>Tip: Corresponds with the MCHB Block Grant Performance Measure: The percentage of youth with special health care needs who received the services necessary to make transitions to all aspects of adult life, including adult health care, work, and independence.</w:t>
            </w:r>
          </w:p>
        </w:tc>
        <w:tc>
          <w:tcPr>
            <w:tcW w:w="1350" w:type="dxa"/>
          </w:tcPr>
          <w:p w:rsidR="003F03C5" w:rsidRPr="00F6227A" w:rsidRDefault="003F03C5" w:rsidP="00BB0D96">
            <w:pPr>
              <w:rPr>
                <w:rFonts w:eastAsia="Times New Roman" w:cs="Arial"/>
                <w:b/>
                <w:color w:val="000000"/>
                <w:sz w:val="20"/>
                <w:szCs w:val="20"/>
              </w:rPr>
            </w:pPr>
            <w:r w:rsidRPr="00F6227A">
              <w:rPr>
                <w:rFonts w:eastAsia="Times New Roman" w:cs="Arial"/>
                <w:b/>
                <w:color w:val="000000"/>
                <w:sz w:val="20"/>
                <w:szCs w:val="20"/>
              </w:rPr>
              <w:t>48.6%</w:t>
            </w:r>
          </w:p>
        </w:tc>
        <w:tc>
          <w:tcPr>
            <w:tcW w:w="1278" w:type="dxa"/>
          </w:tcPr>
          <w:p w:rsidR="003F03C5" w:rsidRPr="00F6227A" w:rsidRDefault="003F03C5" w:rsidP="00BB0D96">
            <w:pPr>
              <w:rPr>
                <w:rFonts w:eastAsia="Times New Roman" w:cs="Arial"/>
                <w:b/>
                <w:color w:val="000000"/>
                <w:sz w:val="20"/>
                <w:szCs w:val="20"/>
              </w:rPr>
            </w:pPr>
            <w:r w:rsidRPr="00F6227A">
              <w:rPr>
                <w:rFonts w:eastAsia="Times New Roman" w:cs="Arial"/>
                <w:b/>
                <w:color w:val="000000"/>
                <w:sz w:val="20"/>
                <w:szCs w:val="20"/>
              </w:rPr>
              <w:t>40.0%</w:t>
            </w:r>
          </w:p>
        </w:tc>
      </w:tr>
      <w:tr w:rsidR="00EA395B" w:rsidTr="00EA395B">
        <w:tc>
          <w:tcPr>
            <w:tcW w:w="6948" w:type="dxa"/>
          </w:tcPr>
          <w:p w:rsidR="00EA395B" w:rsidRPr="0067438C" w:rsidRDefault="00EA395B" w:rsidP="00BB0D96">
            <w:pPr>
              <w:rPr>
                <w:rFonts w:eastAsia="Times New Roman" w:cs="Arial"/>
                <w:b/>
                <w:color w:val="000000"/>
              </w:rPr>
            </w:pPr>
            <w:r w:rsidRPr="0067438C">
              <w:rPr>
                <w:rFonts w:eastAsia="Times New Roman" w:cs="Arial"/>
                <w:b/>
                <w:color w:val="000000"/>
              </w:rPr>
              <w:t>Percentage of families who report their child's doctors or other health care providers are sensitive to the family's values and customs of families who report their child's doctors or other health care providers are sensitive to the family's values and customs</w:t>
            </w:r>
          </w:p>
        </w:tc>
        <w:tc>
          <w:tcPr>
            <w:tcW w:w="1350" w:type="dxa"/>
          </w:tcPr>
          <w:p w:rsidR="00EA395B" w:rsidRPr="0067438C" w:rsidRDefault="00EA395B" w:rsidP="00BB0D96">
            <w:pPr>
              <w:rPr>
                <w:rFonts w:eastAsia="Times New Roman" w:cs="Arial"/>
                <w:b/>
                <w:color w:val="000000"/>
              </w:rPr>
            </w:pPr>
          </w:p>
        </w:tc>
        <w:tc>
          <w:tcPr>
            <w:tcW w:w="1278" w:type="dxa"/>
          </w:tcPr>
          <w:p w:rsidR="00EA395B" w:rsidRPr="0067438C" w:rsidRDefault="00EA395B" w:rsidP="00BB0D96">
            <w:pPr>
              <w:rPr>
                <w:rFonts w:eastAsia="Times New Roman" w:cs="Arial"/>
                <w:b/>
                <w:color w:val="000000"/>
              </w:rPr>
            </w:pPr>
          </w:p>
        </w:tc>
      </w:tr>
      <w:tr w:rsidR="00EA395B" w:rsidTr="00EA395B">
        <w:tc>
          <w:tcPr>
            <w:tcW w:w="6948" w:type="dxa"/>
          </w:tcPr>
          <w:p w:rsidR="00EA395B" w:rsidRPr="0067438C" w:rsidRDefault="00EA395B" w:rsidP="00BB0D96">
            <w:pPr>
              <w:rPr>
                <w:rFonts w:eastAsia="Times New Roman" w:cs="Arial"/>
                <w:color w:val="000000"/>
              </w:rPr>
            </w:pPr>
            <w:r w:rsidRPr="0067438C">
              <w:rPr>
                <w:rFonts w:eastAsia="Times New Roman" w:cs="Arial"/>
                <w:b/>
                <w:color w:val="000000"/>
              </w:rPr>
              <w:t>Always</w:t>
            </w:r>
          </w:p>
        </w:tc>
        <w:tc>
          <w:tcPr>
            <w:tcW w:w="1350" w:type="dxa"/>
          </w:tcPr>
          <w:p w:rsidR="00EA395B" w:rsidRPr="0067438C" w:rsidRDefault="00EA395B" w:rsidP="00BB0D96">
            <w:pPr>
              <w:rPr>
                <w:rFonts w:eastAsia="Times New Roman" w:cs="Arial"/>
                <w:b/>
                <w:color w:val="000000"/>
              </w:rPr>
            </w:pPr>
            <w:r w:rsidRPr="0067438C">
              <w:rPr>
                <w:rFonts w:eastAsia="Times New Roman" w:cs="Arial"/>
                <w:b/>
                <w:color w:val="000000"/>
              </w:rPr>
              <w:t>66.9%</w:t>
            </w:r>
          </w:p>
        </w:tc>
        <w:tc>
          <w:tcPr>
            <w:tcW w:w="1278" w:type="dxa"/>
          </w:tcPr>
          <w:p w:rsidR="00EA395B" w:rsidRPr="0067438C" w:rsidRDefault="00EA395B" w:rsidP="00BB0D96">
            <w:pPr>
              <w:rPr>
                <w:rFonts w:eastAsia="Times New Roman" w:cs="Arial"/>
                <w:b/>
                <w:color w:val="000000"/>
              </w:rPr>
            </w:pPr>
            <w:r w:rsidRPr="0067438C">
              <w:rPr>
                <w:rFonts w:eastAsia="Times New Roman" w:cs="Arial"/>
                <w:b/>
                <w:color w:val="000000"/>
              </w:rPr>
              <w:t>69.6%</w:t>
            </w:r>
          </w:p>
        </w:tc>
      </w:tr>
      <w:tr w:rsidR="00EA395B" w:rsidTr="00EA395B">
        <w:tc>
          <w:tcPr>
            <w:tcW w:w="6948" w:type="dxa"/>
          </w:tcPr>
          <w:p w:rsidR="00EA395B" w:rsidRPr="0067438C" w:rsidRDefault="00EA395B" w:rsidP="00BB0D96">
            <w:pPr>
              <w:rPr>
                <w:rFonts w:eastAsia="Times New Roman" w:cs="Arial"/>
                <w:color w:val="000000"/>
              </w:rPr>
            </w:pPr>
            <w:r w:rsidRPr="0067438C">
              <w:rPr>
                <w:rFonts w:eastAsia="Times New Roman" w:cs="Arial"/>
                <w:b/>
                <w:color w:val="000000"/>
              </w:rPr>
              <w:t>Usually</w:t>
            </w:r>
          </w:p>
        </w:tc>
        <w:tc>
          <w:tcPr>
            <w:tcW w:w="1350" w:type="dxa"/>
          </w:tcPr>
          <w:p w:rsidR="00EA395B" w:rsidRPr="0067438C" w:rsidRDefault="00EA395B" w:rsidP="00BB0D96">
            <w:pPr>
              <w:rPr>
                <w:rFonts w:eastAsia="Times New Roman" w:cs="Arial"/>
                <w:b/>
                <w:color w:val="000000"/>
              </w:rPr>
            </w:pPr>
            <w:r w:rsidRPr="0067438C">
              <w:rPr>
                <w:rFonts w:eastAsia="Times New Roman" w:cs="Arial"/>
                <w:b/>
                <w:color w:val="000000"/>
              </w:rPr>
              <w:t>22.2%</w:t>
            </w:r>
          </w:p>
        </w:tc>
        <w:tc>
          <w:tcPr>
            <w:tcW w:w="1278" w:type="dxa"/>
          </w:tcPr>
          <w:p w:rsidR="00EA395B" w:rsidRPr="0067438C" w:rsidRDefault="00EA395B" w:rsidP="00BB0D96">
            <w:pPr>
              <w:rPr>
                <w:rFonts w:eastAsia="Times New Roman" w:cs="Arial"/>
                <w:b/>
                <w:color w:val="000000"/>
              </w:rPr>
            </w:pPr>
            <w:r w:rsidRPr="0067438C">
              <w:rPr>
                <w:rFonts w:eastAsia="Times New Roman" w:cs="Arial"/>
                <w:b/>
                <w:color w:val="000000"/>
              </w:rPr>
              <w:t>19.3%</w:t>
            </w:r>
          </w:p>
        </w:tc>
      </w:tr>
      <w:tr w:rsidR="00EA395B" w:rsidTr="00EA395B">
        <w:tc>
          <w:tcPr>
            <w:tcW w:w="6948" w:type="dxa"/>
          </w:tcPr>
          <w:p w:rsidR="00EA395B" w:rsidRPr="0067438C" w:rsidRDefault="00EA395B" w:rsidP="00BB0D96">
            <w:pPr>
              <w:rPr>
                <w:rFonts w:eastAsia="Times New Roman" w:cs="Arial"/>
                <w:color w:val="000000"/>
              </w:rPr>
            </w:pPr>
            <w:r w:rsidRPr="0067438C">
              <w:rPr>
                <w:rFonts w:eastAsia="Times New Roman" w:cs="Arial"/>
                <w:b/>
                <w:color w:val="000000"/>
              </w:rPr>
              <w:t>Sometimes or Never</w:t>
            </w:r>
          </w:p>
        </w:tc>
        <w:tc>
          <w:tcPr>
            <w:tcW w:w="1350" w:type="dxa"/>
          </w:tcPr>
          <w:p w:rsidR="00EA395B" w:rsidRPr="0067438C" w:rsidRDefault="00EA395B" w:rsidP="00BB0D96">
            <w:pPr>
              <w:rPr>
                <w:rFonts w:eastAsia="Times New Roman" w:cs="Arial"/>
                <w:b/>
                <w:color w:val="000000"/>
              </w:rPr>
            </w:pPr>
            <w:r w:rsidRPr="0067438C">
              <w:rPr>
                <w:rFonts w:eastAsia="Times New Roman" w:cs="Arial"/>
                <w:b/>
                <w:color w:val="000000"/>
              </w:rPr>
              <w:t>10.9%</w:t>
            </w:r>
          </w:p>
        </w:tc>
        <w:tc>
          <w:tcPr>
            <w:tcW w:w="1278" w:type="dxa"/>
          </w:tcPr>
          <w:p w:rsidR="00EA395B" w:rsidRPr="0067438C" w:rsidRDefault="00EA395B" w:rsidP="00BB0D96">
            <w:pPr>
              <w:rPr>
                <w:rFonts w:eastAsia="Times New Roman" w:cs="Arial"/>
                <w:b/>
                <w:color w:val="000000"/>
              </w:rPr>
            </w:pPr>
            <w:r w:rsidRPr="0067438C">
              <w:rPr>
                <w:rFonts w:eastAsia="Times New Roman" w:cs="Arial"/>
                <w:b/>
                <w:color w:val="000000"/>
              </w:rPr>
              <w:t>11.1%</w:t>
            </w:r>
          </w:p>
        </w:tc>
      </w:tr>
      <w:tr w:rsidR="00EA395B" w:rsidTr="00EA395B">
        <w:tc>
          <w:tcPr>
            <w:tcW w:w="6948" w:type="dxa"/>
          </w:tcPr>
          <w:p w:rsidR="00EA395B" w:rsidRDefault="00EA395B" w:rsidP="00BB0D96">
            <w:pPr>
              <w:rPr>
                <w:rFonts w:eastAsia="Times New Roman" w:cs="Arial"/>
                <w:color w:val="000000"/>
                <w:sz w:val="20"/>
                <w:szCs w:val="20"/>
              </w:rPr>
            </w:pPr>
            <w:r w:rsidRPr="00165C81">
              <w:rPr>
                <w:rFonts w:eastAsia="Times New Roman" w:cs="Arial"/>
                <w:color w:val="000000"/>
                <w:sz w:val="18"/>
                <w:szCs w:val="18"/>
              </w:rPr>
              <w:t>Source: National Survey of Children with Special Health Care Needs (2009-2010)</w:t>
            </w:r>
            <w:r w:rsidRPr="00165C81">
              <w:rPr>
                <w:rFonts w:eastAsia="Times New Roman" w:cs="Arial"/>
                <w:color w:val="000000"/>
                <w:sz w:val="20"/>
                <w:szCs w:val="20"/>
              </w:rPr>
              <w:br/>
            </w:r>
            <w:r w:rsidRPr="00F75F51">
              <w:rPr>
                <w:rFonts w:eastAsia="Times New Roman" w:cs="Arial"/>
                <w:color w:val="000000"/>
                <w:sz w:val="18"/>
                <w:szCs w:val="18"/>
              </w:rPr>
              <w:t>Tip</w:t>
            </w:r>
            <w:r w:rsidRPr="00165C81">
              <w:rPr>
                <w:rFonts w:eastAsia="Times New Roman" w:cs="Arial"/>
                <w:color w:val="000000"/>
                <w:sz w:val="18"/>
                <w:szCs w:val="18"/>
              </w:rPr>
              <w:t xml:space="preserve">: A list of the Healthy People 2010 six core performance outcomes can be found on the </w:t>
            </w:r>
            <w:hyperlink r:id="rId20" w:tgtFrame="_blank" w:history="1">
              <w:r w:rsidRPr="00165C81">
                <w:rPr>
                  <w:rStyle w:val="Hyperlink"/>
                  <w:rFonts w:eastAsia="Times New Roman" w:cs="Arial"/>
                  <w:b/>
                  <w:bCs/>
                  <w:color w:val="000066"/>
                  <w:sz w:val="18"/>
                  <w:szCs w:val="18"/>
                </w:rPr>
                <w:t>Catalyst Center History and Background</w:t>
              </w:r>
            </w:hyperlink>
            <w:r w:rsidRPr="00165C81">
              <w:rPr>
                <w:rFonts w:eastAsia="Times New Roman" w:cs="Arial"/>
                <w:color w:val="000000"/>
                <w:sz w:val="18"/>
                <w:szCs w:val="18"/>
              </w:rPr>
              <w:t xml:space="preserve"> page.</w:t>
            </w:r>
            <w:r w:rsidRPr="00165C81">
              <w:rPr>
                <w:rFonts w:eastAsia="Times New Roman" w:cs="Arial"/>
                <w:color w:val="000000"/>
                <w:sz w:val="20"/>
                <w:szCs w:val="20"/>
              </w:rPr>
              <w:t xml:space="preserve"> </w:t>
            </w:r>
          </w:p>
          <w:p w:rsidR="00EA395B" w:rsidRPr="00D96EAA" w:rsidRDefault="00EA395B" w:rsidP="00BB0D96">
            <w:pPr>
              <w:rPr>
                <w:rFonts w:eastAsia="Times New Roman" w:cs="Arial"/>
                <w:color w:val="000000"/>
                <w:sz w:val="18"/>
                <w:szCs w:val="18"/>
              </w:rPr>
            </w:pPr>
          </w:p>
        </w:tc>
        <w:tc>
          <w:tcPr>
            <w:tcW w:w="1350" w:type="dxa"/>
          </w:tcPr>
          <w:p w:rsidR="00EA395B" w:rsidRPr="00F6227A" w:rsidRDefault="00EA395B" w:rsidP="00BB0D96">
            <w:pPr>
              <w:rPr>
                <w:rFonts w:eastAsia="Times New Roman" w:cs="Arial"/>
                <w:b/>
                <w:color w:val="000000"/>
              </w:rPr>
            </w:pPr>
          </w:p>
        </w:tc>
        <w:tc>
          <w:tcPr>
            <w:tcW w:w="1278" w:type="dxa"/>
          </w:tcPr>
          <w:p w:rsidR="00EA395B" w:rsidRPr="00F6227A" w:rsidRDefault="00EA395B" w:rsidP="00BB0D96">
            <w:pPr>
              <w:rPr>
                <w:rFonts w:eastAsia="Times New Roman" w:cs="Arial"/>
                <w:b/>
                <w:color w:val="000000"/>
              </w:rPr>
            </w:pPr>
          </w:p>
        </w:tc>
      </w:tr>
    </w:tbl>
    <w:p w:rsidR="00EA395B" w:rsidRDefault="00EA395B" w:rsidP="00EA395B"/>
    <w:tbl>
      <w:tblPr>
        <w:tblStyle w:val="TableGrid"/>
        <w:tblW w:w="0" w:type="auto"/>
        <w:tblLayout w:type="fixed"/>
        <w:tblCellMar>
          <w:top w:w="29" w:type="dxa"/>
          <w:left w:w="115" w:type="dxa"/>
          <w:bottom w:w="29" w:type="dxa"/>
          <w:right w:w="115" w:type="dxa"/>
        </w:tblCellMar>
        <w:tblLook w:val="0620" w:firstRow="1" w:lastRow="0" w:firstColumn="0" w:lastColumn="0" w:noHBand="1" w:noVBand="1"/>
        <w:tblCaption w:val="Table: Title V Program"/>
        <w:tblDescription w:val="Montana and US statistics for: Financing, and Family Involvment"/>
      </w:tblPr>
      <w:tblGrid>
        <w:gridCol w:w="7038"/>
        <w:gridCol w:w="1260"/>
        <w:gridCol w:w="1278"/>
      </w:tblGrid>
      <w:tr w:rsidR="00EA395B" w:rsidTr="00EA395B">
        <w:trPr>
          <w:tblHeader/>
        </w:trPr>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BF5DD7" w:rsidRDefault="00EA395B" w:rsidP="00B66BC2">
            <w:pPr>
              <w:pStyle w:val="Heading2"/>
              <w:spacing w:before="0"/>
              <w:jc w:val="left"/>
              <w:outlineLvl w:val="1"/>
              <w:rPr>
                <w:rFonts w:asciiTheme="minorHAnsi" w:eastAsia="Times New Roman" w:hAnsiTheme="minorHAnsi"/>
                <w:color w:val="000000"/>
                <w:sz w:val="28"/>
                <w:szCs w:val="28"/>
              </w:rPr>
            </w:pPr>
            <w:bookmarkStart w:id="26" w:name="_Toc403370681"/>
            <w:r w:rsidRPr="00BF5DD7">
              <w:rPr>
                <w:rFonts w:asciiTheme="minorHAnsi" w:hAnsiTheme="minorHAnsi"/>
                <w:color w:val="FFFFFF" w:themeColor="background1"/>
                <w:sz w:val="28"/>
                <w:szCs w:val="28"/>
              </w:rPr>
              <w:t xml:space="preserve">Table: </w:t>
            </w:r>
            <w:r w:rsidRPr="00BF5DD7">
              <w:rPr>
                <w:rFonts w:asciiTheme="minorHAnsi" w:eastAsia="Times New Roman" w:hAnsiTheme="minorHAnsi"/>
                <w:color w:val="FFFFFF" w:themeColor="background1"/>
                <w:sz w:val="28"/>
                <w:szCs w:val="28"/>
              </w:rPr>
              <w:t>TITLE V PROGRAM</w:t>
            </w:r>
            <w:bookmarkEnd w:id="26"/>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BF5DD7" w:rsidRDefault="00EA395B" w:rsidP="00BB0D96">
            <w:pPr>
              <w:pStyle w:val="Heading2"/>
              <w:spacing w:before="0"/>
              <w:outlineLvl w:val="1"/>
              <w:rPr>
                <w:rFonts w:asciiTheme="minorHAnsi" w:eastAsia="Times New Roman" w:hAnsiTheme="minorHAnsi"/>
                <w:color w:val="000000"/>
                <w:sz w:val="28"/>
                <w:szCs w:val="28"/>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A395B" w:rsidRPr="00BF5DD7" w:rsidRDefault="00EA395B" w:rsidP="00BB0D96">
            <w:pPr>
              <w:pStyle w:val="Heading2"/>
              <w:spacing w:before="0"/>
              <w:outlineLvl w:val="1"/>
              <w:rPr>
                <w:rFonts w:asciiTheme="minorHAnsi" w:eastAsia="Times New Roman" w:hAnsiTheme="minorHAnsi"/>
                <w:color w:val="000000"/>
                <w:sz w:val="28"/>
                <w:szCs w:val="28"/>
              </w:rPr>
            </w:pPr>
          </w:p>
        </w:tc>
      </w:tr>
      <w:tr w:rsidR="00EA395B" w:rsidTr="00EA395B">
        <w:tc>
          <w:tcPr>
            <w:tcW w:w="7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BF5DD7" w:rsidRDefault="00EA395B" w:rsidP="00BB0D96">
            <w:pPr>
              <w:rPr>
                <w:b/>
              </w:rPr>
            </w:pPr>
            <w:r w:rsidRPr="00BF5DD7">
              <w:rPr>
                <w:b/>
              </w:rPr>
              <w:t>Financing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Montana</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395B" w:rsidRPr="0097081C" w:rsidRDefault="00EA395B" w:rsidP="00BB0D96">
            <w:pPr>
              <w:rPr>
                <w:b/>
              </w:rPr>
            </w:pPr>
            <w:r w:rsidRPr="0097081C">
              <w:rPr>
                <w:b/>
              </w:rPr>
              <w:t>US</w:t>
            </w:r>
          </w:p>
        </w:tc>
      </w:tr>
      <w:tr w:rsidR="00EA395B" w:rsidTr="00EA395B">
        <w:tc>
          <w:tcPr>
            <w:tcW w:w="7038" w:type="dxa"/>
            <w:tcBorders>
              <w:top w:val="single" w:sz="4" w:space="0" w:color="000000" w:themeColor="text1"/>
              <w:bottom w:val="single" w:sz="4" w:space="0" w:color="000000" w:themeColor="text1"/>
            </w:tcBorders>
          </w:tcPr>
          <w:p w:rsidR="00EA395B" w:rsidRPr="0067438C" w:rsidRDefault="00EA395B" w:rsidP="00BB0D96">
            <w:pPr>
              <w:rPr>
                <w:rFonts w:eastAsia="Times New Roman" w:cs="Arial"/>
                <w:b/>
                <w:color w:val="000000"/>
              </w:rPr>
            </w:pPr>
            <w:r w:rsidRPr="0067438C">
              <w:rPr>
                <w:rFonts w:eastAsia="Times New Roman" w:cs="Arial"/>
                <w:b/>
                <w:color w:val="000000"/>
              </w:rPr>
              <w:t>Percentage of Title V Block Grant Partnership Budget from State Funds</w:t>
            </w:r>
          </w:p>
          <w:p w:rsidR="00EA395B" w:rsidRPr="00BF5DD7" w:rsidRDefault="00EA395B" w:rsidP="00BB0D96">
            <w:pPr>
              <w:rPr>
                <w:rFonts w:eastAsia="Times New Roman" w:cs="Arial"/>
                <w:color w:val="000000"/>
                <w:sz w:val="18"/>
                <w:szCs w:val="18"/>
              </w:rPr>
            </w:pPr>
            <w:r w:rsidRPr="00F75F51">
              <w:rPr>
                <w:rFonts w:eastAsia="Times New Roman" w:cs="Arial"/>
                <w:color w:val="000000"/>
                <w:sz w:val="18"/>
                <w:szCs w:val="18"/>
              </w:rPr>
              <w:t>Source</w:t>
            </w:r>
            <w:r w:rsidRPr="00165C81">
              <w:rPr>
                <w:rFonts w:eastAsia="Times New Roman" w:cs="Arial"/>
                <w:color w:val="000000"/>
                <w:sz w:val="18"/>
                <w:szCs w:val="18"/>
              </w:rPr>
              <w:t>: U.S. Dept. of Health and Human Services, Health Resources and Services Administration, Maternal and Child Health Bureau (2014)</w:t>
            </w:r>
          </w:p>
        </w:tc>
        <w:tc>
          <w:tcPr>
            <w:tcW w:w="1260" w:type="dxa"/>
            <w:tcBorders>
              <w:top w:val="single" w:sz="4" w:space="0" w:color="000000" w:themeColor="text1"/>
              <w:bottom w:val="single" w:sz="4" w:space="0" w:color="000000" w:themeColor="text1"/>
            </w:tcBorders>
          </w:tcPr>
          <w:p w:rsidR="00EA395B" w:rsidRDefault="00EA395B" w:rsidP="00BB0D96">
            <w:r w:rsidRPr="00F6227A">
              <w:rPr>
                <w:rFonts w:eastAsia="Times New Roman" w:cs="Arial"/>
                <w:b/>
                <w:color w:val="000000"/>
                <w:sz w:val="20"/>
                <w:szCs w:val="20"/>
              </w:rPr>
              <w:t>20.6%</w:t>
            </w:r>
          </w:p>
        </w:tc>
        <w:tc>
          <w:tcPr>
            <w:tcW w:w="1278" w:type="dxa"/>
            <w:tcBorders>
              <w:top w:val="single" w:sz="4" w:space="0" w:color="000000" w:themeColor="text1"/>
              <w:bottom w:val="single" w:sz="4" w:space="0" w:color="000000" w:themeColor="text1"/>
            </w:tcBorders>
          </w:tcPr>
          <w:p w:rsidR="00EA395B" w:rsidRPr="00BF5DD7" w:rsidRDefault="00EA395B" w:rsidP="00BB0D96">
            <w:r w:rsidRPr="00F6227A">
              <w:rPr>
                <w:rFonts w:eastAsia="Times New Roman" w:cs="Arial"/>
                <w:b/>
                <w:color w:val="000000"/>
                <w:sz w:val="20"/>
                <w:szCs w:val="20"/>
              </w:rPr>
              <w:t>42.3%</w:t>
            </w:r>
          </w:p>
        </w:tc>
      </w:tr>
      <w:tr w:rsidR="00EA395B" w:rsidTr="00EA395B">
        <w:tc>
          <w:tcPr>
            <w:tcW w:w="7038" w:type="dxa"/>
            <w:tcBorders>
              <w:top w:val="single" w:sz="4" w:space="0" w:color="000000" w:themeColor="text1"/>
              <w:bottom w:val="single" w:sz="4" w:space="0" w:color="000000" w:themeColor="text1"/>
            </w:tcBorders>
            <w:shd w:val="clear" w:color="auto" w:fill="BFBFBF" w:themeFill="background1" w:themeFillShade="BF"/>
          </w:tcPr>
          <w:p w:rsidR="00EA395B" w:rsidRPr="00BF5DD7" w:rsidRDefault="00EA395B" w:rsidP="00BB0D96">
            <w:pPr>
              <w:rPr>
                <w:rFonts w:eastAsia="Times New Roman" w:cs="Arial"/>
                <w:b/>
                <w:color w:val="000000"/>
                <w:sz w:val="20"/>
                <w:szCs w:val="20"/>
              </w:rPr>
            </w:pPr>
            <w:r w:rsidRPr="00BF5DD7">
              <w:rPr>
                <w:b/>
              </w:rPr>
              <w:t>Family Involvement</w:t>
            </w:r>
          </w:p>
        </w:tc>
        <w:tc>
          <w:tcPr>
            <w:tcW w:w="1260" w:type="dxa"/>
            <w:tcBorders>
              <w:top w:val="single" w:sz="4" w:space="0" w:color="000000" w:themeColor="text1"/>
              <w:bottom w:val="single" w:sz="4" w:space="0" w:color="000000" w:themeColor="text1"/>
            </w:tcBorders>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Montana</w:t>
            </w:r>
          </w:p>
        </w:tc>
        <w:tc>
          <w:tcPr>
            <w:tcW w:w="1278" w:type="dxa"/>
            <w:tcBorders>
              <w:top w:val="single" w:sz="4" w:space="0" w:color="000000" w:themeColor="text1"/>
              <w:bottom w:val="single" w:sz="4" w:space="0" w:color="000000" w:themeColor="text1"/>
            </w:tcBorders>
            <w:shd w:val="clear" w:color="auto" w:fill="BFBFBF" w:themeFill="background1" w:themeFillShade="BF"/>
          </w:tcPr>
          <w:p w:rsidR="00EA395B" w:rsidRPr="00F6227A" w:rsidRDefault="00EA395B" w:rsidP="00BB0D96">
            <w:pPr>
              <w:rPr>
                <w:rFonts w:eastAsia="Times New Roman" w:cs="Arial"/>
                <w:b/>
                <w:color w:val="000000"/>
                <w:sz w:val="20"/>
                <w:szCs w:val="20"/>
              </w:rPr>
            </w:pPr>
            <w:r w:rsidRPr="0097081C">
              <w:rPr>
                <w:b/>
              </w:rPr>
              <w:t>US</w:t>
            </w:r>
          </w:p>
        </w:tc>
      </w:tr>
      <w:tr w:rsidR="00EA395B" w:rsidTr="00EA395B">
        <w:tc>
          <w:tcPr>
            <w:tcW w:w="7038" w:type="dxa"/>
            <w:tcBorders>
              <w:top w:val="single" w:sz="4" w:space="0" w:color="000000" w:themeColor="text1"/>
              <w:bottom w:val="single" w:sz="4" w:space="0" w:color="000000" w:themeColor="text1"/>
            </w:tcBorders>
          </w:tcPr>
          <w:p w:rsidR="00EA395B" w:rsidRPr="0067438C" w:rsidRDefault="00EA395B" w:rsidP="00BB0D96">
            <w:pPr>
              <w:rPr>
                <w:rFonts w:eastAsia="Times New Roman" w:cs="Arial"/>
                <w:b/>
                <w:color w:val="000000"/>
              </w:rPr>
            </w:pPr>
            <w:r w:rsidRPr="0067438C">
              <w:rPr>
                <w:rFonts w:eastAsia="Times New Roman" w:cs="Arial"/>
                <w:b/>
                <w:color w:val="000000"/>
              </w:rPr>
              <w:t>Family Participation in Title V CYSHCN Program Score</w:t>
            </w:r>
          </w:p>
          <w:p w:rsidR="00EA395B" w:rsidRPr="00F6227A" w:rsidRDefault="00EA395B" w:rsidP="00BB0D96">
            <w:pPr>
              <w:rPr>
                <w:rFonts w:eastAsia="Times New Roman" w:cs="Arial"/>
                <w:b/>
                <w:color w:val="000000"/>
                <w:sz w:val="20"/>
                <w:szCs w:val="20"/>
              </w:rPr>
            </w:pPr>
            <w:r w:rsidRPr="0067438C">
              <w:rPr>
                <w:rFonts w:eastAsia="Times New Roman" w:cs="Arial"/>
                <w:b/>
                <w:color w:val="000000"/>
              </w:rPr>
              <w:t>(Maximum Possible = 18)</w:t>
            </w:r>
          </w:p>
        </w:tc>
        <w:tc>
          <w:tcPr>
            <w:tcW w:w="1260" w:type="dxa"/>
            <w:tcBorders>
              <w:top w:val="single" w:sz="4" w:space="0" w:color="000000" w:themeColor="text1"/>
              <w:bottom w:val="single" w:sz="4" w:space="0" w:color="000000" w:themeColor="text1"/>
            </w:tcBorders>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12</w:t>
            </w:r>
          </w:p>
        </w:tc>
        <w:tc>
          <w:tcPr>
            <w:tcW w:w="1278" w:type="dxa"/>
            <w:tcBorders>
              <w:top w:val="single" w:sz="4" w:space="0" w:color="000000" w:themeColor="text1"/>
              <w:bottom w:val="single" w:sz="4" w:space="0" w:color="000000" w:themeColor="text1"/>
            </w:tcBorders>
          </w:tcPr>
          <w:p w:rsidR="00EA395B" w:rsidRPr="00F6227A" w:rsidRDefault="00EA395B" w:rsidP="00BB0D96">
            <w:pPr>
              <w:rPr>
                <w:rFonts w:eastAsia="Times New Roman" w:cs="Arial"/>
                <w:b/>
                <w:color w:val="000000"/>
                <w:sz w:val="20"/>
                <w:szCs w:val="20"/>
              </w:rPr>
            </w:pPr>
            <w:r w:rsidRPr="00F6227A">
              <w:rPr>
                <w:rFonts w:eastAsia="Times New Roman" w:cs="Arial"/>
                <w:b/>
                <w:color w:val="000000"/>
                <w:sz w:val="20"/>
                <w:szCs w:val="20"/>
              </w:rPr>
              <w:t>14.2</w:t>
            </w:r>
          </w:p>
        </w:tc>
      </w:tr>
      <w:tr w:rsidR="00EA395B" w:rsidTr="00EA395B">
        <w:tc>
          <w:tcPr>
            <w:tcW w:w="7038" w:type="dxa"/>
            <w:tcBorders>
              <w:top w:val="single" w:sz="4" w:space="0" w:color="000000" w:themeColor="text1"/>
            </w:tcBorders>
          </w:tcPr>
          <w:p w:rsidR="00EA395B" w:rsidRPr="00BF5DD7" w:rsidRDefault="00EA395B" w:rsidP="00BB0D96">
            <w:pPr>
              <w:spacing w:after="120"/>
              <w:rPr>
                <w:rFonts w:eastAsia="Times New Roman" w:cs="Arial"/>
                <w:color w:val="000000"/>
                <w:sz w:val="18"/>
                <w:szCs w:val="18"/>
              </w:rPr>
            </w:pPr>
            <w:r w:rsidRPr="00165C81">
              <w:rPr>
                <w:rFonts w:eastAsia="Times New Roman" w:cs="Arial"/>
                <w:color w:val="000000"/>
                <w:sz w:val="18"/>
                <w:szCs w:val="18"/>
              </w:rPr>
              <w:t>Source: U.S. Dept. of Health and Human Services, Health Resources and Services Administration, Maternal and Child Health Bureau (2014)</w:t>
            </w:r>
          </w:p>
        </w:tc>
        <w:tc>
          <w:tcPr>
            <w:tcW w:w="1260" w:type="dxa"/>
            <w:tcBorders>
              <w:top w:val="single" w:sz="4" w:space="0" w:color="000000" w:themeColor="text1"/>
            </w:tcBorders>
          </w:tcPr>
          <w:p w:rsidR="00EA395B" w:rsidRPr="00F6227A" w:rsidRDefault="00EA395B" w:rsidP="00BB0D96">
            <w:pPr>
              <w:rPr>
                <w:rFonts w:eastAsia="Times New Roman" w:cs="Arial"/>
                <w:b/>
                <w:color w:val="000000"/>
                <w:sz w:val="20"/>
                <w:szCs w:val="20"/>
              </w:rPr>
            </w:pPr>
          </w:p>
        </w:tc>
        <w:tc>
          <w:tcPr>
            <w:tcW w:w="1278" w:type="dxa"/>
            <w:tcBorders>
              <w:top w:val="single" w:sz="4" w:space="0" w:color="000000" w:themeColor="text1"/>
            </w:tcBorders>
          </w:tcPr>
          <w:p w:rsidR="00EA395B" w:rsidRPr="00F6227A" w:rsidRDefault="00EA395B" w:rsidP="00BB0D96">
            <w:pPr>
              <w:rPr>
                <w:rFonts w:eastAsia="Times New Roman" w:cs="Arial"/>
                <w:b/>
                <w:color w:val="000000"/>
                <w:sz w:val="20"/>
                <w:szCs w:val="20"/>
              </w:rPr>
            </w:pPr>
          </w:p>
        </w:tc>
      </w:tr>
    </w:tbl>
    <w:p w:rsidR="00EA395B" w:rsidRPr="002A68EA" w:rsidRDefault="00EA395B" w:rsidP="00EA395B">
      <w:pPr>
        <w:spacing w:after="0" w:line="240" w:lineRule="auto"/>
        <w:rPr>
          <w:rFonts w:eastAsia="Times New Roman" w:cs="Arial"/>
          <w:color w:val="000000"/>
          <w:sz w:val="20"/>
          <w:szCs w:val="20"/>
        </w:rPr>
      </w:pPr>
      <w:r w:rsidRPr="00165C81">
        <w:rPr>
          <w:rFonts w:eastAsia="Times New Roman" w:cs="Arial"/>
          <w:color w:val="000000"/>
          <w:sz w:val="20"/>
          <w:szCs w:val="20"/>
        </w:rPr>
        <w:t xml:space="preserve">For more information, click on </w:t>
      </w:r>
      <w:hyperlink r:id="rId21" w:history="1">
        <w:r w:rsidRPr="00550129">
          <w:rPr>
            <w:rStyle w:val="Hyperlink"/>
            <w:rFonts w:eastAsia="Times New Roman" w:cs="Arial"/>
          </w:rPr>
          <w:t>http://www.dphhs.mt.gov/publichealth/cshs/documents/CSHCNNeedsinMontanaSummary.pdf</w:t>
        </w:r>
      </w:hyperlink>
    </w:p>
    <w:p w:rsidR="00EA395B" w:rsidRDefault="00EA395B" w:rsidP="00EA395B"/>
    <w:p w:rsidR="00B043FB" w:rsidRPr="006F6DEF" w:rsidRDefault="00BE4A5D" w:rsidP="00BE4A5D">
      <w:pPr>
        <w:pStyle w:val="ReportBodyText"/>
        <w:jc w:val="center"/>
        <w:rPr>
          <w:rFonts w:cs="Arial"/>
          <w:b/>
          <w:color w:val="1F497D" w:themeColor="text2"/>
          <w:sz w:val="28"/>
          <w:szCs w:val="28"/>
        </w:rPr>
      </w:pPr>
      <w:bookmarkStart w:id="27" w:name="_Toc403370682"/>
      <w:r w:rsidRPr="00E126D5">
        <w:rPr>
          <w:rStyle w:val="Heading2Char"/>
        </w:rPr>
        <w:lastRenderedPageBreak/>
        <w:t xml:space="preserve">Special Education Services for Preschoolers </w:t>
      </w:r>
      <w:r w:rsidR="00F75F51">
        <w:rPr>
          <w:rStyle w:val="Heading2Char"/>
        </w:rPr>
        <w:br/>
      </w:r>
      <w:r w:rsidRPr="00E126D5">
        <w:rPr>
          <w:rStyle w:val="Heading2Char"/>
        </w:rPr>
        <w:t>with Disabilities</w:t>
      </w:r>
      <w:bookmarkEnd w:id="27"/>
      <w:r w:rsidR="00DE3CAF" w:rsidRPr="00E126D5">
        <w:rPr>
          <w:rStyle w:val="FootnoteReference"/>
          <w:rFonts w:cs="Arial"/>
          <w:b/>
          <w:color w:val="000000" w:themeColor="text1"/>
          <w:sz w:val="28"/>
          <w:szCs w:val="28"/>
        </w:rPr>
        <w:footnoteReference w:id="33"/>
      </w:r>
    </w:p>
    <w:p w:rsidR="006F6DEF" w:rsidRDefault="006F6DEF" w:rsidP="00E126D5">
      <w:pPr>
        <w:rPr>
          <w:rFonts w:eastAsia="Times New Roman"/>
        </w:rPr>
      </w:pPr>
      <w:r w:rsidRPr="006F6DEF">
        <w:rPr>
          <w:rFonts w:eastAsia="Times New Roman"/>
        </w:rPr>
        <w:t>Special education is instruction specifically designed to meet the educational and developmental needs</w:t>
      </w:r>
      <w:r>
        <w:rPr>
          <w:rFonts w:eastAsia="Times New Roman"/>
        </w:rPr>
        <w:t xml:space="preserve"> of children with disabilities, </w:t>
      </w:r>
      <w:r w:rsidRPr="006F6DEF">
        <w:rPr>
          <w:rFonts w:eastAsia="Times New Roman"/>
        </w:rPr>
        <w:t>or those who are experiencing developmental delays.</w:t>
      </w:r>
    </w:p>
    <w:p w:rsidR="006F6DEF" w:rsidRDefault="006F6DEF" w:rsidP="00E126D5">
      <w:pPr>
        <w:rPr>
          <w:rFonts w:eastAsia="Times New Roman"/>
        </w:rPr>
      </w:pPr>
      <w:r w:rsidRPr="006F6DEF">
        <w:rPr>
          <w:rFonts w:eastAsia="Times New Roman"/>
        </w:rPr>
        <w:t xml:space="preserve">Services for preschool children (ages 3 through 5) are provided free of charge through the public school system. These services are available through the same law—the </w:t>
      </w:r>
      <w:r w:rsidRPr="006416F4">
        <w:rPr>
          <w:rFonts w:eastAsia="Times New Roman"/>
          <w:b/>
          <w:i/>
          <w:color w:val="404040" w:themeColor="text1" w:themeTint="BF"/>
        </w:rPr>
        <w:t>Individuals with Disabilities Education Act</w:t>
      </w:r>
      <w:r w:rsidRPr="006F6DEF">
        <w:rPr>
          <w:rFonts w:eastAsia="Times New Roman"/>
        </w:rPr>
        <w:t>—that makes available:</w:t>
      </w:r>
    </w:p>
    <w:p w:rsidR="00A66208" w:rsidRPr="00E126D5" w:rsidRDefault="006F6DEF" w:rsidP="00F9158C">
      <w:pPr>
        <w:pStyle w:val="ListParagraph"/>
        <w:numPr>
          <w:ilvl w:val="0"/>
          <w:numId w:val="36"/>
        </w:numPr>
        <w:rPr>
          <w:rFonts w:eastAsia="Times New Roman"/>
          <w:szCs w:val="22"/>
        </w:rPr>
      </w:pPr>
      <w:r w:rsidRPr="00E126D5">
        <w:rPr>
          <w:rFonts w:eastAsia="Times New Roman"/>
          <w:szCs w:val="22"/>
        </w:rPr>
        <w:t>E</w:t>
      </w:r>
      <w:hyperlink r:id="rId22" w:history="1">
        <w:r w:rsidRPr="00E126D5">
          <w:rPr>
            <w:rFonts w:eastAsia="Times New Roman"/>
            <w:szCs w:val="22"/>
          </w:rPr>
          <w:t>arly intervention services</w:t>
        </w:r>
      </w:hyperlink>
      <w:r w:rsidRPr="00E126D5">
        <w:rPr>
          <w:rFonts w:eastAsia="Times New Roman"/>
          <w:szCs w:val="22"/>
        </w:rPr>
        <w:t xml:space="preserve"> (Part C of IDEA), and </w:t>
      </w:r>
    </w:p>
    <w:p w:rsidR="000A7C74" w:rsidRPr="00E126D5" w:rsidRDefault="00B655D7" w:rsidP="00F9158C">
      <w:pPr>
        <w:pStyle w:val="ListParagraph"/>
        <w:numPr>
          <w:ilvl w:val="0"/>
          <w:numId w:val="36"/>
        </w:numPr>
        <w:rPr>
          <w:rFonts w:eastAsia="Times New Roman"/>
          <w:szCs w:val="22"/>
        </w:rPr>
      </w:pPr>
      <w:hyperlink r:id="rId23" w:history="1">
        <w:r w:rsidR="006F6DEF" w:rsidRPr="00E126D5">
          <w:rPr>
            <w:rFonts w:eastAsia="Times New Roman"/>
            <w:szCs w:val="22"/>
          </w:rPr>
          <w:t>Services for school-age children</w:t>
        </w:r>
      </w:hyperlink>
      <w:r w:rsidR="006F6DEF" w:rsidRPr="00E126D5">
        <w:rPr>
          <w:rFonts w:eastAsia="Times New Roman"/>
          <w:szCs w:val="22"/>
        </w:rPr>
        <w:t>,</w:t>
      </w:r>
      <w:r w:rsidR="000A7C74" w:rsidRPr="00E126D5">
        <w:rPr>
          <w:rFonts w:eastAsia="Times New Roman"/>
          <w:szCs w:val="22"/>
        </w:rPr>
        <w:t xml:space="preserve"> </w:t>
      </w:r>
      <w:r w:rsidR="006F6DEF" w:rsidRPr="00E126D5">
        <w:rPr>
          <w:rFonts w:eastAsia="Times New Roman"/>
          <w:szCs w:val="22"/>
        </w:rPr>
        <w:t>in grades K through 12 (Part B of IDEA)</w:t>
      </w:r>
    </w:p>
    <w:p w:rsidR="000A7C74" w:rsidRPr="000A7C74" w:rsidRDefault="000A7C74" w:rsidP="00E126D5">
      <w:pPr>
        <w:rPr>
          <w:rFonts w:eastAsia="Times New Roman"/>
        </w:rPr>
      </w:pPr>
      <w:r w:rsidRPr="000A7C74">
        <w:rPr>
          <w:rFonts w:eastAsia="Times New Roman"/>
        </w:rPr>
        <w:t xml:space="preserve">There are several ways that children may begin receiving services. Children who are receiving early intervention services may begin special education preschool services: </w:t>
      </w:r>
      <w:r w:rsidR="003D1224">
        <w:rPr>
          <w:rFonts w:eastAsia="Times New Roman"/>
        </w:rPr>
        <w:t>u</w:t>
      </w:r>
      <w:r w:rsidRPr="003D1224">
        <w:rPr>
          <w:rFonts w:eastAsia="Times New Roman"/>
        </w:rPr>
        <w:t>pon their transition out of early intervention, typically at age three;</w:t>
      </w:r>
      <w:r w:rsidR="003D1224">
        <w:rPr>
          <w:rFonts w:eastAsia="Times New Roman"/>
        </w:rPr>
        <w:t xml:space="preserve"> or, at the State’s discretion, two-year-olds who will turn three during the school year may receive special education preschool services. </w:t>
      </w:r>
      <w:r w:rsidRPr="000A7C74">
        <w:rPr>
          <w:rFonts w:eastAsia="Times New Roman"/>
        </w:rPr>
        <w:t>Still other children are first identified and found eligible between the ages of two and five, and thus, may begin receiving services as preschoolers.</w:t>
      </w:r>
    </w:p>
    <w:p w:rsidR="000A7C74" w:rsidRPr="000A7C74" w:rsidRDefault="000A7C74" w:rsidP="00E126D5">
      <w:pPr>
        <w:rPr>
          <w:rFonts w:eastAsia="Times New Roman"/>
        </w:rPr>
      </w:pPr>
      <w:r w:rsidRPr="000A7C74">
        <w:rPr>
          <w:rFonts w:eastAsia="Times New Roman"/>
        </w:rPr>
        <w:t xml:space="preserve">One of the more common ways that very young children become identified as needing special services lies in the process of attending regular well-baby and child check-ups with a </w:t>
      </w:r>
      <w:r w:rsidRPr="00E126D5">
        <w:rPr>
          <w:rFonts w:eastAsia="Times New Roman"/>
          <w:color w:val="404040" w:themeColor="text1" w:themeTint="BF"/>
        </w:rPr>
        <w:t>pediatrician</w:t>
      </w:r>
      <w:r w:rsidRPr="000A7C74">
        <w:rPr>
          <w:rFonts w:eastAsia="Times New Roman"/>
        </w:rPr>
        <w:t>. Often a referral to a Developmental Pediatrician or other specialist is made if there’s a question or concern about a child’s development. This can, in turn, lead to comprehensive evaluations to fully determine if a child has a significant delay or disability and as a result needs specialized help.</w:t>
      </w:r>
    </w:p>
    <w:p w:rsidR="000A7C74" w:rsidRPr="000A7C74" w:rsidRDefault="000A7C74" w:rsidP="00E126D5">
      <w:pPr>
        <w:rPr>
          <w:rFonts w:eastAsia="Times New Roman"/>
        </w:rPr>
      </w:pPr>
      <w:r w:rsidRPr="000A7C74">
        <w:rPr>
          <w:rFonts w:eastAsia="Times New Roman"/>
        </w:rPr>
        <w:t xml:space="preserve">Another way for very young children to become identified is through the </w:t>
      </w:r>
      <w:r w:rsidRPr="006416F4">
        <w:rPr>
          <w:rFonts w:eastAsia="Times New Roman"/>
          <w:b/>
          <w:color w:val="404040" w:themeColor="text1" w:themeTint="BF"/>
        </w:rPr>
        <w:t>local Child Find office</w:t>
      </w:r>
      <w:r w:rsidRPr="006416F4">
        <w:rPr>
          <w:rFonts w:eastAsia="Times New Roman"/>
          <w:color w:val="404040" w:themeColor="text1" w:themeTint="BF"/>
        </w:rPr>
        <w:t>.</w:t>
      </w:r>
      <w:r w:rsidRPr="000A7C74">
        <w:rPr>
          <w:rFonts w:eastAsia="Times New Roman"/>
        </w:rPr>
        <w:t xml:space="preserve"> In keeping with IDEA, each State must have comprehensive systems of child find in order to identify, locate, and evaluate children with disabilities residing in the State and who are in need of special education and related services. Before children are old enough to attend public school, however, it’s not uncommon for a babysitter, a daycare provider, or preschool staff to express concern to a child’s parents about a possible developmental or learning delay. They may suggest that the parents contact the appropriate agency to have the child screened and/or evaluated to determine if there is an underlying problem or delay that might need to be addressed. Such screenings cover a range of skill areas—vision and hearing, gross and fine motor skills, speech and language use, social and emotional behavior, and more.</w:t>
      </w:r>
    </w:p>
    <w:p w:rsidR="000A7C74" w:rsidRPr="000A7C74" w:rsidRDefault="000A7C74" w:rsidP="00E126D5">
      <w:pPr>
        <w:rPr>
          <w:rFonts w:eastAsia="Times New Roman"/>
        </w:rPr>
      </w:pPr>
      <w:r w:rsidRPr="00E126D5">
        <w:rPr>
          <w:rStyle w:val="Strong"/>
        </w:rPr>
        <w:t>Parents don’t have to wait until someone suggests that their child be screened</w:t>
      </w:r>
      <w:r w:rsidRPr="000A7C74">
        <w:rPr>
          <w:rFonts w:eastAsia="Times New Roman"/>
        </w:rPr>
        <w:t xml:space="preserve">, though. If you are concerned about your child’s development, you can contact the local child find office (through your local school system) and arrange to have your child screened. Such screenings </w:t>
      </w:r>
      <w:r w:rsidRPr="000A7C74">
        <w:rPr>
          <w:rFonts w:eastAsia="Times New Roman"/>
        </w:rPr>
        <w:lastRenderedPageBreak/>
        <w:t>are free of charge to parents. They are considered part of the State’s responsibility toward the well-being of its resident children.</w:t>
      </w:r>
    </w:p>
    <w:p w:rsidR="001A28E9" w:rsidRPr="00E126D5" w:rsidRDefault="00DE3CAF" w:rsidP="00E126D5">
      <w:pPr>
        <w:pStyle w:val="Heading2"/>
        <w:rPr>
          <w:rStyle w:val="fn"/>
        </w:rPr>
      </w:pPr>
      <w:bookmarkStart w:id="28" w:name="_Toc403370683"/>
      <w:r w:rsidRPr="00E126D5">
        <w:rPr>
          <w:rStyle w:val="fn"/>
        </w:rPr>
        <w:t>Special Education in Montana</w:t>
      </w:r>
      <w:bookmarkEnd w:id="28"/>
    </w:p>
    <w:p w:rsidR="00DE3CAF" w:rsidRPr="004817C0" w:rsidRDefault="00901096" w:rsidP="00E126D5">
      <w:r w:rsidRPr="004817C0">
        <w:t xml:space="preserve">In Montana, children three years of age and older who need significant modifications in their educational programs may be eligible for </w:t>
      </w:r>
      <w:hyperlink r:id="rId24" w:history="1">
        <w:r w:rsidRPr="004817C0">
          <w:rPr>
            <w:rStyle w:val="Hyperlink"/>
            <w:rFonts w:cs="Arial"/>
            <w:color w:val="000000" w:themeColor="text1"/>
            <w:u w:val="none"/>
          </w:rPr>
          <w:t>special-education services</w:t>
        </w:r>
      </w:hyperlink>
      <w:r w:rsidRPr="004817C0">
        <w:t xml:space="preserve"> through their school district. </w:t>
      </w:r>
    </w:p>
    <w:p w:rsidR="00EC3BB7" w:rsidRDefault="00901096" w:rsidP="00E126D5">
      <w:r w:rsidRPr="004817C0">
        <w:t xml:space="preserve">For preschool-age children, parents should contact the special-education department of the public school district in which they live. Public schools have an obligation, called </w:t>
      </w:r>
      <w:hyperlink r:id="rId25" w:tgtFrame="_blank" w:history="1">
        <w:r w:rsidRPr="004817C0">
          <w:rPr>
            <w:rStyle w:val="Hyperlink"/>
            <w:rFonts w:cs="Arial"/>
            <w:b/>
            <w:i/>
            <w:color w:val="000000" w:themeColor="text1"/>
            <w:u w:val="none"/>
          </w:rPr>
          <w:t>Child Find,</w:t>
        </w:r>
      </w:hyperlink>
      <w:r w:rsidRPr="004817C0">
        <w:t xml:space="preserve"> to find and identify all children with disabilities who live within the district boundaries. For students who are enrolled in school but not yet eligible for special-education services, the parent should contact the school principal. In Montana, either the school or the parents can refer a student for a comprehensive educational evaluation for special education services. If the parent makes the referral, it must in writing and it must contain specific information. </w:t>
      </w:r>
    </w:p>
    <w:p w:rsidR="00901096" w:rsidRPr="00901096" w:rsidRDefault="00901096" w:rsidP="00E126D5">
      <w:pPr>
        <w:rPr>
          <w:color w:val="333333"/>
        </w:rPr>
      </w:pPr>
      <w:r w:rsidRPr="004817C0">
        <w:t>Parents can contact</w:t>
      </w:r>
      <w:r w:rsidRPr="00901096">
        <w:rPr>
          <w:color w:val="333333"/>
        </w:rPr>
        <w:t xml:space="preserve"> </w:t>
      </w:r>
      <w:hyperlink r:id="rId26" w:tgtFrame="_blank" w:history="1">
        <w:r w:rsidRPr="00C1261D">
          <w:rPr>
            <w:rStyle w:val="Hyperlink"/>
            <w:rFonts w:cs="Arial"/>
            <w:b/>
            <w:i/>
            <w:color w:val="000000" w:themeColor="text1"/>
            <w:u w:val="none"/>
          </w:rPr>
          <w:t>PLUK</w:t>
        </w:r>
      </w:hyperlink>
      <w:r w:rsidRPr="00C1261D">
        <w:rPr>
          <w:color w:val="000000" w:themeColor="text1"/>
        </w:rPr>
        <w:t xml:space="preserve"> </w:t>
      </w:r>
      <w:r>
        <w:rPr>
          <w:color w:val="333333"/>
        </w:rPr>
        <w:t>(</w:t>
      </w:r>
      <w:r w:rsidRPr="006E6230">
        <w:rPr>
          <w:b/>
          <w:color w:val="7030A0"/>
        </w:rPr>
        <w:t>P</w:t>
      </w:r>
      <w:r w:rsidRPr="004817C0">
        <w:t>arents</w:t>
      </w:r>
      <w:r w:rsidRPr="00901096">
        <w:rPr>
          <w:b/>
          <w:color w:val="333333"/>
        </w:rPr>
        <w:t xml:space="preserve"> </w:t>
      </w:r>
      <w:r w:rsidRPr="00C1261D">
        <w:rPr>
          <w:b/>
          <w:color w:val="000000" w:themeColor="text1"/>
        </w:rPr>
        <w:t>L</w:t>
      </w:r>
      <w:r w:rsidRPr="00C1261D">
        <w:rPr>
          <w:color w:val="000000" w:themeColor="text1"/>
        </w:rPr>
        <w:t xml:space="preserve">et’s </w:t>
      </w:r>
      <w:r w:rsidRPr="00C1261D">
        <w:rPr>
          <w:b/>
          <w:color w:val="000000" w:themeColor="text1"/>
        </w:rPr>
        <w:t>U</w:t>
      </w:r>
      <w:r w:rsidRPr="00C1261D">
        <w:rPr>
          <w:color w:val="000000" w:themeColor="text1"/>
        </w:rPr>
        <w:t xml:space="preserve">nite for </w:t>
      </w:r>
      <w:r w:rsidRPr="00C1261D">
        <w:rPr>
          <w:b/>
          <w:color w:val="000000" w:themeColor="text1"/>
        </w:rPr>
        <w:t>K</w:t>
      </w:r>
      <w:r w:rsidRPr="00C1261D">
        <w:rPr>
          <w:color w:val="000000" w:themeColor="text1"/>
        </w:rPr>
        <w:t>ids</w:t>
      </w:r>
      <w:r>
        <w:rPr>
          <w:color w:val="333333"/>
        </w:rPr>
        <w:t xml:space="preserve">) </w:t>
      </w:r>
      <w:r w:rsidRPr="004817C0">
        <w:t>for information about referrals, evaluations, and all aspects of the special education process.</w:t>
      </w:r>
      <w:r w:rsidR="00E147A0" w:rsidRPr="004817C0">
        <w:rPr>
          <w:rStyle w:val="FootnoteReference"/>
          <w:rFonts w:cs="Arial"/>
          <w:color w:val="000000" w:themeColor="text1"/>
        </w:rPr>
        <w:footnoteReference w:id="34"/>
      </w:r>
      <w:r w:rsidRPr="004817C0">
        <w:t xml:space="preserve"> </w:t>
      </w:r>
    </w:p>
    <w:p w:rsidR="00E147A0" w:rsidRPr="004817C0" w:rsidRDefault="00901096" w:rsidP="00E126D5">
      <w:r w:rsidRPr="004817C0">
        <w:t xml:space="preserve">Each student's special-education placement and services are determined by his or her </w:t>
      </w:r>
      <w:hyperlink r:id="rId27" w:history="1">
        <w:r w:rsidRPr="004817C0">
          <w:rPr>
            <w:rStyle w:val="Hyperlink"/>
            <w:rFonts w:cs="Arial"/>
            <w:color w:val="000000" w:themeColor="text1"/>
            <w:u w:val="none"/>
          </w:rPr>
          <w:t>Individual Education Plan</w:t>
        </w:r>
      </w:hyperlink>
      <w:r w:rsidRPr="004817C0">
        <w:t xml:space="preserve"> (IEP). The IEP is based on the student's unique needs and is developed by a </w:t>
      </w:r>
      <w:hyperlink r:id="rId28" w:history="1">
        <w:r w:rsidRPr="004817C0">
          <w:rPr>
            <w:rStyle w:val="Hyperlink"/>
            <w:rFonts w:cs="Arial"/>
            <w:color w:val="000000" w:themeColor="text1"/>
            <w:u w:val="none"/>
          </w:rPr>
          <w:t>team</w:t>
        </w:r>
      </w:hyperlink>
      <w:r w:rsidRPr="004817C0">
        <w:t xml:space="preserve"> that includes the parents as equal partners. In Montana, parents </w:t>
      </w:r>
      <w:r w:rsidR="00E147A0" w:rsidRPr="004817C0">
        <w:t xml:space="preserve">must </w:t>
      </w:r>
      <w:r w:rsidRPr="004817C0">
        <w:t xml:space="preserve">sign consent to approve and implement the IEP. A student's placement should be based on </w:t>
      </w:r>
      <w:r w:rsidR="00E147A0" w:rsidRPr="004817C0">
        <w:t xml:space="preserve">his / her </w:t>
      </w:r>
      <w:r w:rsidRPr="004817C0">
        <w:t xml:space="preserve">needs and should take place in the </w:t>
      </w:r>
      <w:hyperlink r:id="rId29" w:history="1">
        <w:r w:rsidRPr="004817C0">
          <w:rPr>
            <w:rStyle w:val="Hyperlink"/>
            <w:rFonts w:cs="Arial"/>
            <w:color w:val="000000" w:themeColor="text1"/>
            <w:u w:val="none"/>
          </w:rPr>
          <w:t>least restrictive environment</w:t>
        </w:r>
      </w:hyperlink>
      <w:r w:rsidRPr="004817C0">
        <w:t xml:space="preserve"> (LRE) possible with supplementary supports and services. The IEP team determines LRE for individual students. </w:t>
      </w:r>
    </w:p>
    <w:p w:rsidR="00901096" w:rsidRDefault="00901096" w:rsidP="00E126D5">
      <w:pPr>
        <w:rPr>
          <w:color w:val="404040" w:themeColor="text1" w:themeTint="BF"/>
        </w:rPr>
      </w:pPr>
      <w:r w:rsidRPr="004817C0">
        <w:t xml:space="preserve">Montana has a full </w:t>
      </w:r>
      <w:hyperlink r:id="rId30" w:history="1">
        <w:r w:rsidRPr="004817C0">
          <w:rPr>
            <w:rStyle w:val="Hyperlink"/>
            <w:rFonts w:cs="Arial"/>
            <w:color w:val="000000" w:themeColor="text1"/>
            <w:u w:val="none"/>
          </w:rPr>
          <w:t>continuum</w:t>
        </w:r>
      </w:hyperlink>
      <w:r w:rsidRPr="004817C0">
        <w:t xml:space="preserve"> of special education placements, from students who spend 100 percent of their time in general-education classrooms to students who spend the majority of their time receiving instruction in special-education classrooms. Some students may be pulled out of the general-education classroom to receive special instruction in specific subjects or skill areas. Individual districts have local control over how they deliver services, and not every school</w:t>
      </w:r>
      <w:r w:rsidRPr="00E147A0">
        <w:rPr>
          <w:color w:val="333333"/>
        </w:rPr>
        <w:t xml:space="preserve"> </w:t>
      </w:r>
      <w:r w:rsidRPr="004817C0">
        <w:t>provides all placements. Parents can contact</w:t>
      </w:r>
      <w:r w:rsidRPr="00E147A0">
        <w:rPr>
          <w:color w:val="333333"/>
        </w:rPr>
        <w:t xml:space="preserve"> </w:t>
      </w:r>
      <w:hyperlink r:id="rId31" w:tgtFrame="_blank" w:history="1">
        <w:r w:rsidRPr="00BE78C7">
          <w:rPr>
            <w:rStyle w:val="Hyperlink"/>
            <w:rFonts w:cs="Arial"/>
            <w:color w:val="000000" w:themeColor="text1"/>
            <w:u w:val="none"/>
          </w:rPr>
          <w:t>PLUK</w:t>
        </w:r>
      </w:hyperlink>
      <w:r w:rsidRPr="00BE78C7">
        <w:t xml:space="preserve"> </w:t>
      </w:r>
      <w:r w:rsidRPr="00E147A0">
        <w:rPr>
          <w:color w:val="333333"/>
        </w:rPr>
        <w:t>for information about their role in the IEP and placement pr</w:t>
      </w:r>
      <w:r w:rsidR="00BE78C7">
        <w:rPr>
          <w:color w:val="333333"/>
        </w:rPr>
        <w:t xml:space="preserve">ocess or </w:t>
      </w:r>
      <w:hyperlink r:id="rId32" w:tgtFrame="_blank" w:history="1">
        <w:r w:rsidR="00BE78C7" w:rsidRPr="006416F4">
          <w:rPr>
            <w:rStyle w:val="Hyperlink"/>
            <w:rFonts w:cs="Arial"/>
            <w:iCs/>
            <w:color w:val="404040" w:themeColor="text1" w:themeTint="BF"/>
            <w:u w:val="none"/>
          </w:rPr>
          <w:t>d</w:t>
        </w:r>
        <w:r w:rsidRPr="006416F4">
          <w:rPr>
            <w:rStyle w:val="Hyperlink"/>
            <w:rFonts w:cs="Arial"/>
            <w:iCs/>
            <w:color w:val="404040" w:themeColor="text1" w:themeTint="BF"/>
            <w:u w:val="none"/>
          </w:rPr>
          <w:t xml:space="preserve">ownload PLUK's </w:t>
        </w:r>
        <w:r w:rsidRPr="006416F4">
          <w:rPr>
            <w:rStyle w:val="Hyperlink"/>
            <w:rFonts w:cs="Arial"/>
            <w:b/>
            <w:i/>
            <w:iCs/>
            <w:color w:val="404040" w:themeColor="text1" w:themeTint="BF"/>
            <w:u w:val="none"/>
          </w:rPr>
          <w:t>Montana Parent's Handbook to Special Education</w:t>
        </w:r>
        <w:r w:rsidRPr="006416F4">
          <w:rPr>
            <w:rStyle w:val="Hyperlink"/>
            <w:rFonts w:cs="Arial"/>
            <w:iCs/>
            <w:color w:val="404040" w:themeColor="text1" w:themeTint="BF"/>
            <w:u w:val="none"/>
          </w:rPr>
          <w:t>.</w:t>
        </w:r>
      </w:hyperlink>
      <w:r w:rsidRPr="006416F4">
        <w:rPr>
          <w:color w:val="404040" w:themeColor="text1" w:themeTint="BF"/>
        </w:rPr>
        <w:t xml:space="preserve"> </w:t>
      </w:r>
    </w:p>
    <w:p w:rsidR="00901096" w:rsidRDefault="002E0FC9" w:rsidP="006A2AC8">
      <w:pPr>
        <w:autoSpaceDE w:val="0"/>
        <w:autoSpaceDN w:val="0"/>
        <w:adjustRightInd w:val="0"/>
        <w:spacing w:after="120" w:line="361" w:lineRule="atLeast"/>
        <w:jc w:val="center"/>
        <w:rPr>
          <w:rFonts w:ascii="Verdana" w:eastAsiaTheme="minorHAnsi" w:hAnsi="Verdana" w:cs="ITC Avant Garde Std Md"/>
          <w:b/>
          <w:bCs/>
          <w:color w:val="1F497D" w:themeColor="text2"/>
          <w:sz w:val="28"/>
          <w:szCs w:val="28"/>
        </w:rPr>
      </w:pPr>
      <w:bookmarkStart w:id="29" w:name="_Toc403370684"/>
      <w:r w:rsidRPr="00E126D5">
        <w:rPr>
          <w:rStyle w:val="Heading2Char"/>
        </w:rPr>
        <w:t>Children and Youth with Disabilities</w:t>
      </w:r>
      <w:r w:rsidR="00EC03A0" w:rsidRPr="00E126D5">
        <w:rPr>
          <w:rStyle w:val="Heading2Char"/>
        </w:rPr>
        <w:t xml:space="preserve"> in the Nation</w:t>
      </w:r>
      <w:bookmarkEnd w:id="29"/>
      <w:r w:rsidR="00BB69EA" w:rsidRPr="00E126D5">
        <w:rPr>
          <w:rStyle w:val="FootnoteReference"/>
          <w:rFonts w:ascii="Verdana" w:eastAsiaTheme="minorHAnsi" w:hAnsi="Verdana" w:cs="ITC Avant Garde Std Md"/>
          <w:b/>
          <w:bCs/>
          <w:color w:val="000000" w:themeColor="text1"/>
          <w:sz w:val="28"/>
          <w:szCs w:val="28"/>
        </w:rPr>
        <w:footnoteReference w:id="35"/>
      </w:r>
    </w:p>
    <w:p w:rsidR="006A2AC8" w:rsidRDefault="006A2AC8" w:rsidP="00E126D5">
      <w:pPr>
        <w:rPr>
          <w:rFonts w:eastAsiaTheme="minorHAnsi"/>
          <w:i/>
          <w:color w:val="000000"/>
        </w:rPr>
      </w:pPr>
      <w:r w:rsidRPr="006A2AC8">
        <w:rPr>
          <w:rFonts w:eastAsiaTheme="minorHAnsi"/>
        </w:rPr>
        <w:t>The number of children and youth ages 3–21 receiving special education services was 6.4 million in 2011–12, or about 13 percent of all public school students. Some 36 percent of the students receiving</w:t>
      </w:r>
      <w:r w:rsidRPr="006A2AC8">
        <w:rPr>
          <w:rFonts w:eastAsiaTheme="minorHAnsi"/>
          <w:i/>
          <w:color w:val="000000"/>
        </w:rPr>
        <w:t xml:space="preserve"> special education services had specific learning disabilities.</w:t>
      </w:r>
    </w:p>
    <w:p w:rsidR="008C6EC3" w:rsidRDefault="008C6EC3" w:rsidP="00E126D5">
      <w:pPr>
        <w:rPr>
          <w:rFonts w:eastAsiaTheme="minorHAnsi"/>
          <w:color w:val="000000"/>
        </w:rPr>
      </w:pPr>
      <w:r w:rsidRPr="008C6EC3">
        <w:rPr>
          <w:rFonts w:eastAsiaTheme="minorHAnsi"/>
          <w:color w:val="000000"/>
        </w:rPr>
        <w:t xml:space="preserve">Enacted in 1975, the Individuals with Disabilities Education Act (IDEA), formerly known as the Education for All Handicapped Children Act (EAHCA), mandates the provision of a free and appropriate public school education for eligible children and youth ages 3–21. Eligible children </w:t>
      </w:r>
      <w:r w:rsidRPr="008C6EC3">
        <w:rPr>
          <w:rFonts w:eastAsiaTheme="minorHAnsi"/>
          <w:color w:val="000000"/>
        </w:rPr>
        <w:lastRenderedPageBreak/>
        <w:t>and youth are those identified by a team of professionals as having a disability that adversely affects academic performance and as being in need of special education and related services. Data collection activities to monitor compliance with IDEA began in 1976.</w:t>
      </w:r>
    </w:p>
    <w:p w:rsidR="00E75697" w:rsidRDefault="0015268E" w:rsidP="00E126D5">
      <w:pPr>
        <w:rPr>
          <w:rFonts w:eastAsiaTheme="minorHAnsi"/>
          <w:color w:val="000000"/>
        </w:rPr>
      </w:pPr>
      <w:r w:rsidRPr="0015268E">
        <w:rPr>
          <w:rFonts w:eastAsiaTheme="minorHAnsi"/>
          <w:color w:val="000000"/>
        </w:rPr>
        <w:t>From school years 1990–91 through 2004–05, the number of children and youth ages 3–21 who received special education services increased, as did their percentage of total public school enrollment: 4.7 million children and youth ages 3–21, or about 11 percent of public school enrollment, received special education services in 1990–91, compared with 6.7 million, or about 14 percent, in 2004–05. The number and percentage of children and youth served under IDEA have declined each year from 2005–06 through 2011–12. By 2011–12, the number of children and youth receiving services had declined to 6.4 million, corresponding to 13 percent of total public school enrollment.</w:t>
      </w:r>
    </w:p>
    <w:p w:rsidR="00E75697" w:rsidRDefault="00E75697" w:rsidP="00E126D5">
      <w:pPr>
        <w:rPr>
          <w:color w:val="000000"/>
        </w:rPr>
      </w:pPr>
      <w:r w:rsidRPr="00E75697">
        <w:rPr>
          <w:color w:val="000000"/>
        </w:rPr>
        <w:t>A higher percentage of children and youth age</w:t>
      </w:r>
      <w:r>
        <w:rPr>
          <w:color w:val="000000"/>
        </w:rPr>
        <w:t>s</w:t>
      </w:r>
      <w:r w:rsidRPr="00E75697">
        <w:rPr>
          <w:color w:val="000000"/>
        </w:rPr>
        <w:t xml:space="preserve"> 3–21 received special education services under IDEA for specific learning disabilities than for any other type of disability in 2011–12. A specific learning disability is a disorder in one or more of the basic psychological processes involved in understanding or using language, spoken or written, that may manifest itself in an imperfect ability to listen, think, speak, read, write, spell, or do mathematical calculations. In 2011–12, some 36 percent of all children and youth receiving special education services had specific learning disabilities, 21 percent had speech or language impairments, and 12 percent had other health impairments (includes having limited strength, vitality, or alertness due to chronic or acute health problems such as a heart condition, tuberculosis, rheumatic fever, nephritis, asthma, sickle cell anemia, hemophilia, epilepsy, lead poisoning, leukemia, or diabetes). </w:t>
      </w:r>
    </w:p>
    <w:p w:rsidR="00BB69EA" w:rsidRDefault="00E75697" w:rsidP="00E126D5">
      <w:pPr>
        <w:rPr>
          <w:color w:val="000000"/>
        </w:rPr>
      </w:pPr>
      <w:r w:rsidRPr="00E75697">
        <w:rPr>
          <w:color w:val="000000"/>
        </w:rPr>
        <w:t>Students with autism, intellectual disabilities, developmental delay, and emotional disturbances each accounted for between 6 and 7 percent of children and youth served under IDEA. Children and youth with multiple disabilities, hearing impairments, orthopedic impairments, visual impairments, traumatic brain injury, and deaf-blindness each accounted for 2 percent or less of those served under IDEA.</w:t>
      </w:r>
    </w:p>
    <w:p w:rsidR="00E82093" w:rsidRDefault="00E82093" w:rsidP="00E126D5">
      <w:pPr>
        <w:rPr>
          <w:color w:val="000000"/>
        </w:rPr>
      </w:pPr>
      <w:r w:rsidRPr="00E82093">
        <w:rPr>
          <w:color w:val="000000"/>
        </w:rPr>
        <w:t>About 95 percent of school-age children and youth ages 6–21 who were served under IDEA in 2011–12 were enrolled in regular schools. Three percent of children and youth ages 6–21 who were served under IDEA were enrolled in separate schools (public or private) for students with disabilities; 1 percent were placed by their parents in regular private schools; and less than 1 percent each were in separate residential facilities (public and private), homebound or in hospitals, or in correctional facilities. Among all children and youth ages 6–21 who were served under IDEA, the percentage of children and youth who spent most (80 percent or more) of their school day in general classes in regular schools was higher in 2011–12 than in any other year. For example,</w:t>
      </w:r>
      <w:r>
        <w:rPr>
          <w:color w:val="000000"/>
        </w:rPr>
        <w:t xml:space="preserve"> </w:t>
      </w:r>
      <w:r w:rsidRPr="00E82093">
        <w:rPr>
          <w:color w:val="000000"/>
        </w:rPr>
        <w:t xml:space="preserve">in 1990–91 some 33 percent of children and youth ages 6–21 spent most of their school day in general class, compared with 47 percent in 2000–01 and 61 percent in 2011–12. In 2011–12, the percentage of students served under IDEA who spent most of their school day in general classes was highest for students with speech or language impairments (87 percent). Sixty-six percent of students with specific learning disabilities and 64 percent of students with visual impairments spent most of their school day in general classes. In contrast, 17 percent of </w:t>
      </w:r>
      <w:r w:rsidRPr="00E82093">
        <w:rPr>
          <w:color w:val="000000"/>
        </w:rPr>
        <w:lastRenderedPageBreak/>
        <w:t>students with intellectual disabilities and 13 percent of students with multiple disabilities spent most of their school day in general classes.</w:t>
      </w:r>
    </w:p>
    <w:p w:rsidR="00E82093" w:rsidRPr="00E82093" w:rsidRDefault="00E82093" w:rsidP="00E126D5">
      <w:pPr>
        <w:rPr>
          <w:color w:val="000000"/>
        </w:rPr>
      </w:pPr>
      <w:r w:rsidRPr="00E82093">
        <w:rPr>
          <w:color w:val="000000"/>
        </w:rPr>
        <w:t xml:space="preserve">In school year 2011–12, the number of children and youth ages 3–21 who were served under IDEA as a percent of total enrollment in public schools differed by race/ ethnicity. The percentage of children and youth served under IDEA was highest for American Indians/Alaska Natives (16 percent), followed by Blacks (15 percent), Whites (13 percent), children and youth of two or more races (13 percent), Hispanics (12 percent), Pacific Islanders (11 percent), and Asians (6 percent). For each racial/ethnic group, the percentages of children and youth receiving services for specific learning disabilities and for speech or language impairments together accounted for over 50 percent of children and youth served under IDEA. </w:t>
      </w:r>
    </w:p>
    <w:p w:rsidR="00335E89" w:rsidRPr="00E126D5" w:rsidRDefault="00E82093" w:rsidP="00E126D5">
      <w:pPr>
        <w:rPr>
          <w:color w:val="000000"/>
        </w:rPr>
      </w:pPr>
      <w:r w:rsidRPr="00E82093">
        <w:rPr>
          <w:color w:val="000000"/>
        </w:rPr>
        <w:t>The percentage distribution of children and youth ages 3–21 who received various types of special education services in 2011–12 varied by race/ethnicity. For example,</w:t>
      </w:r>
      <w:r>
        <w:rPr>
          <w:color w:val="000000"/>
        </w:rPr>
        <w:t xml:space="preserve"> </w:t>
      </w:r>
      <w:r w:rsidRPr="00E82093">
        <w:rPr>
          <w:color w:val="000000"/>
        </w:rPr>
        <w:t>the percentage of students with disabilities served under IDEA for specific learning disabilities was lower among Asian children (23 percent) than among children overall (36 percent). However, the percentage of students with disabilities who were served for autism was higher among Asian children (17 percent) than among children overall (7 percent). Additionally, students who received services for emotional disturbances accounted for 8 percent of Black children served under IDEA, compared with 6 percent of children overall. Among children and youth that received services, the percentages of American Indians/Alaska Natives (9 percent), Pacific Islanders (9 percent), and students of two or more races (10 percent) who received services for developmental delay under IDEA were higher than the percentage of children overall (6 percent).</w:t>
      </w:r>
    </w:p>
    <w:p w:rsidR="00EC03A0" w:rsidRPr="00EC03A0" w:rsidRDefault="00EC03A0" w:rsidP="00EC03A0">
      <w:pPr>
        <w:autoSpaceDE w:val="0"/>
        <w:autoSpaceDN w:val="0"/>
        <w:adjustRightInd w:val="0"/>
        <w:spacing w:after="120"/>
        <w:jc w:val="center"/>
        <w:rPr>
          <w:rFonts w:cs="Arial"/>
          <w:bCs/>
          <w:color w:val="000000" w:themeColor="text1"/>
          <w:spacing w:val="-5"/>
        </w:rPr>
      </w:pPr>
      <w:bookmarkStart w:id="30" w:name="_Toc403370685"/>
      <w:r w:rsidRPr="00E126D5">
        <w:rPr>
          <w:rStyle w:val="Heading2Char"/>
        </w:rPr>
        <w:t>Children and Youth with Disabilities in Montana</w:t>
      </w:r>
      <w:bookmarkEnd w:id="30"/>
      <w:r w:rsidRPr="00E126D5">
        <w:rPr>
          <w:rStyle w:val="FootnoteReference"/>
          <w:rFonts w:eastAsiaTheme="minorHAnsi" w:cs="Arial"/>
          <w:b/>
          <w:bCs/>
          <w:color w:val="000000" w:themeColor="text1"/>
          <w:sz w:val="28"/>
          <w:szCs w:val="28"/>
        </w:rPr>
        <w:footnoteReference w:id="36"/>
      </w:r>
    </w:p>
    <w:p w:rsidR="00EC03A0" w:rsidRDefault="00EC03A0" w:rsidP="00E126D5">
      <w:r w:rsidRPr="00EC03A0">
        <w:t>The Montana Division of Special Education has responsibility for assuring that children with disabilities receive a free and appropriate public education in the least restrictive environment. Division staff provides training, technical assistance and monitor special education services provided by public schools and state-operated programs. The Division is also responsible for managing the flow of state and federal dollars for special education programs.</w:t>
      </w:r>
    </w:p>
    <w:p w:rsidR="005B1BEB" w:rsidRDefault="005868EA" w:rsidP="00E126D5">
      <w:pPr>
        <w:sectPr w:rsidR="005B1BEB" w:rsidSect="00A07593">
          <w:pgSz w:w="12240" w:h="15840"/>
          <w:pgMar w:top="1440" w:right="1440" w:bottom="1440" w:left="1440" w:header="720" w:footer="720" w:gutter="0"/>
          <w:cols w:space="720"/>
          <w:docGrid w:linePitch="360"/>
        </w:sectPr>
      </w:pPr>
      <w:r w:rsidRPr="005868EA">
        <w:t>The Division of Special Education has responsibility for assuring that children with disabilities receive a free and appropriate public education in the least restrictive environment. Division staff provides training, technical assistance and monitor special education services provided by public schools and state-operated programs. The Division is also responsible for managing the flow of state and federal dollars for special education programs.</w:t>
      </w:r>
    </w:p>
    <w:p w:rsidR="005868EA" w:rsidRDefault="005868EA" w:rsidP="00E126D5"/>
    <w:p w:rsidR="00836C5A" w:rsidRPr="00E126D5" w:rsidRDefault="00836C5A" w:rsidP="00836C5A">
      <w:pPr>
        <w:autoSpaceDE w:val="0"/>
        <w:autoSpaceDN w:val="0"/>
        <w:adjustRightInd w:val="0"/>
        <w:spacing w:after="120"/>
        <w:jc w:val="center"/>
        <w:rPr>
          <w:rFonts w:eastAsiaTheme="minorHAnsi" w:cs="Arial"/>
          <w:b/>
          <w:iCs/>
          <w:color w:val="000000" w:themeColor="text1"/>
          <w:sz w:val="28"/>
          <w:szCs w:val="28"/>
        </w:rPr>
      </w:pPr>
      <w:bookmarkStart w:id="31" w:name="_Toc403370686"/>
      <w:r w:rsidRPr="00E126D5">
        <w:rPr>
          <w:rStyle w:val="Heading2Char"/>
        </w:rPr>
        <w:t>Montana State Nutrition, Physical Activity, and Obesity Profile</w:t>
      </w:r>
      <w:r w:rsidR="00A47CE0" w:rsidRPr="00E126D5">
        <w:rPr>
          <w:rStyle w:val="Heading2Char"/>
        </w:rPr>
        <w:t xml:space="preserve"> 2012</w:t>
      </w:r>
      <w:bookmarkEnd w:id="31"/>
      <w:r w:rsidRPr="00E126D5">
        <w:rPr>
          <w:rStyle w:val="FootnoteReference"/>
          <w:rFonts w:eastAsiaTheme="minorHAnsi" w:cs="Arial"/>
          <w:iCs/>
          <w:color w:val="000000" w:themeColor="text1"/>
          <w:sz w:val="28"/>
          <w:szCs w:val="28"/>
        </w:rPr>
        <w:footnoteReference w:id="37"/>
      </w:r>
    </w:p>
    <w:p w:rsidR="00836C5A" w:rsidRDefault="00836C5A" w:rsidP="00E126D5">
      <w:pPr>
        <w:rPr>
          <w:rFonts w:eastAsiaTheme="minorHAnsi"/>
        </w:rPr>
      </w:pPr>
      <w:r w:rsidRPr="00836C5A">
        <w:rPr>
          <w:rFonts w:eastAsiaTheme="minorHAnsi"/>
        </w:rPr>
        <w:t>Obesity has important consequences on our nation’s health and economy. It is linked to a number of chronic diseases, including coronary heart disease, stroke, diabetes, and some cancers (NIH Clinical Guidelines, 1998). Among adults, the medical costs associated with obesity are estimated at 147 billion dollars (Finkelstein, 2009). Many American communities are characterized by unhealthy options when it comes to diet and physical activity. We need public health approaches that make healthy options available, accessible, and affordable for all Americans.</w:t>
      </w:r>
    </w:p>
    <w:p w:rsidR="00645E03" w:rsidRPr="00E126D5" w:rsidRDefault="00645E03" w:rsidP="00E126D5">
      <w:pPr>
        <w:jc w:val="center"/>
        <w:rPr>
          <w:b/>
          <w:bCs/>
          <w:spacing w:val="-5"/>
          <w:u w:val="single"/>
        </w:rPr>
      </w:pPr>
      <w:r w:rsidRPr="00E126D5">
        <w:rPr>
          <w:rFonts w:eastAsiaTheme="minorHAnsi"/>
          <w:b/>
          <w:u w:val="single"/>
        </w:rPr>
        <w:t>ADULTS</w:t>
      </w:r>
    </w:p>
    <w:p w:rsidR="00645E03" w:rsidRPr="00E126D5" w:rsidRDefault="00836C5A" w:rsidP="00645E03">
      <w:pPr>
        <w:autoSpaceDE w:val="0"/>
        <w:autoSpaceDN w:val="0"/>
        <w:adjustRightInd w:val="0"/>
        <w:spacing w:after="0"/>
        <w:rPr>
          <w:rStyle w:val="Strong"/>
        </w:rPr>
      </w:pPr>
      <w:r w:rsidRPr="00E126D5">
        <w:rPr>
          <w:rStyle w:val="Strong"/>
        </w:rPr>
        <w:t xml:space="preserve">Overweight and Obesity </w:t>
      </w:r>
    </w:p>
    <w:p w:rsidR="00836C5A" w:rsidRPr="00730D90" w:rsidRDefault="00836C5A" w:rsidP="00F9158C">
      <w:pPr>
        <w:pStyle w:val="ListParagraph"/>
        <w:numPr>
          <w:ilvl w:val="0"/>
          <w:numId w:val="38"/>
        </w:numPr>
        <w:rPr>
          <w:rFonts w:eastAsiaTheme="minorHAnsi"/>
        </w:rPr>
      </w:pPr>
      <w:r w:rsidRPr="00730D90">
        <w:rPr>
          <w:rFonts w:eastAsiaTheme="minorHAnsi"/>
        </w:rPr>
        <w:t xml:space="preserve">60.3% were overweight, with a Body Mass Index of 25 or greater. </w:t>
      </w:r>
    </w:p>
    <w:p w:rsidR="00836C5A" w:rsidRPr="00730D90" w:rsidRDefault="00836C5A" w:rsidP="00F9158C">
      <w:pPr>
        <w:pStyle w:val="ListParagraph"/>
        <w:numPr>
          <w:ilvl w:val="0"/>
          <w:numId w:val="38"/>
        </w:numPr>
        <w:rPr>
          <w:rFonts w:eastAsiaTheme="minorHAnsi"/>
        </w:rPr>
      </w:pPr>
      <w:r w:rsidRPr="00730D90">
        <w:rPr>
          <w:rFonts w:eastAsiaTheme="minorHAnsi"/>
        </w:rPr>
        <w:t xml:space="preserve">23.0% were obese, with a Body Mass Index of 30 or greater. </w:t>
      </w:r>
    </w:p>
    <w:p w:rsidR="00836C5A" w:rsidRPr="00E126D5" w:rsidRDefault="00836C5A" w:rsidP="00836C5A">
      <w:pPr>
        <w:autoSpaceDE w:val="0"/>
        <w:autoSpaceDN w:val="0"/>
        <w:adjustRightInd w:val="0"/>
        <w:spacing w:before="60" w:after="20" w:line="241" w:lineRule="atLeast"/>
        <w:rPr>
          <w:rStyle w:val="Strong"/>
        </w:rPr>
      </w:pPr>
      <w:r w:rsidRPr="00E126D5">
        <w:rPr>
          <w:rStyle w:val="Strong"/>
        </w:rPr>
        <w:t xml:space="preserve">Dietary Behaviors </w:t>
      </w:r>
    </w:p>
    <w:p w:rsidR="00836C5A" w:rsidRPr="00E126D5" w:rsidRDefault="00836C5A" w:rsidP="00F9158C">
      <w:pPr>
        <w:pStyle w:val="ListParagraph"/>
        <w:numPr>
          <w:ilvl w:val="0"/>
          <w:numId w:val="37"/>
        </w:numPr>
        <w:rPr>
          <w:rFonts w:eastAsiaTheme="minorHAnsi"/>
        </w:rPr>
      </w:pPr>
      <w:r w:rsidRPr="00E126D5">
        <w:rPr>
          <w:rFonts w:eastAsiaTheme="minorHAnsi"/>
        </w:rPr>
        <w:t xml:space="preserve">33.5% of adults reported having consumed fruits at the recommended level of 2 or more times per day. </w:t>
      </w:r>
    </w:p>
    <w:p w:rsidR="00836C5A" w:rsidRPr="00E126D5" w:rsidRDefault="00836C5A" w:rsidP="00F9158C">
      <w:pPr>
        <w:pStyle w:val="ListParagraph"/>
        <w:numPr>
          <w:ilvl w:val="0"/>
          <w:numId w:val="37"/>
        </w:numPr>
        <w:rPr>
          <w:rFonts w:eastAsiaTheme="minorHAnsi"/>
        </w:rPr>
      </w:pPr>
      <w:r w:rsidRPr="00E126D5">
        <w:rPr>
          <w:rFonts w:eastAsiaTheme="minorHAnsi"/>
        </w:rPr>
        <w:t xml:space="preserve">28.0% of adults reported having consumed vegetables at the recommended level of 3 or more times per day. </w:t>
      </w:r>
    </w:p>
    <w:p w:rsidR="00730D90" w:rsidRPr="00E126D5" w:rsidRDefault="00836C5A" w:rsidP="00730D90">
      <w:pPr>
        <w:autoSpaceDE w:val="0"/>
        <w:autoSpaceDN w:val="0"/>
        <w:adjustRightInd w:val="0"/>
        <w:spacing w:after="0" w:line="241" w:lineRule="atLeast"/>
        <w:rPr>
          <w:rStyle w:val="Strong"/>
        </w:rPr>
      </w:pPr>
      <w:r w:rsidRPr="00E126D5">
        <w:rPr>
          <w:rStyle w:val="Strong"/>
        </w:rPr>
        <w:t xml:space="preserve">Physical Activity </w:t>
      </w:r>
    </w:p>
    <w:p w:rsidR="00730D90" w:rsidRPr="00E126D5" w:rsidRDefault="00836C5A" w:rsidP="00F9158C">
      <w:pPr>
        <w:pStyle w:val="ListParagraph"/>
        <w:numPr>
          <w:ilvl w:val="0"/>
          <w:numId w:val="39"/>
        </w:numPr>
        <w:rPr>
          <w:rFonts w:eastAsiaTheme="minorHAnsi"/>
          <w:color w:val="1F497D" w:themeColor="text2"/>
          <w:u w:val="single"/>
        </w:rPr>
      </w:pPr>
      <w:r w:rsidRPr="00E126D5">
        <w:rPr>
          <w:rFonts w:eastAsiaTheme="minorHAnsi"/>
        </w:rPr>
        <w:t xml:space="preserve">53.1% of adults achieved at least 300 minutes a week of moderate-intensity aerobic physical activity or 150 minutes a week of vigorous-intensity aerobic activity (or an equivalent combination). </w:t>
      </w:r>
    </w:p>
    <w:p w:rsidR="00E126D5" w:rsidRPr="00E126D5" w:rsidRDefault="00836C5A" w:rsidP="00F9158C">
      <w:pPr>
        <w:pStyle w:val="ListParagraph"/>
        <w:numPr>
          <w:ilvl w:val="0"/>
          <w:numId w:val="39"/>
        </w:numPr>
        <w:rPr>
          <w:rFonts w:eastAsiaTheme="minorHAnsi" w:cs="Arial"/>
          <w:sz w:val="26"/>
          <w:szCs w:val="26"/>
          <w:u w:val="single"/>
        </w:rPr>
      </w:pPr>
      <w:r w:rsidRPr="00E126D5">
        <w:rPr>
          <w:rFonts w:eastAsiaTheme="minorHAnsi"/>
        </w:rPr>
        <w:t>22.0% of Montana’s adults reported that during the past m</w:t>
      </w:r>
      <w:r w:rsidR="00730D90" w:rsidRPr="00E126D5">
        <w:rPr>
          <w:rFonts w:eastAsiaTheme="minorHAnsi"/>
        </w:rPr>
        <w:t xml:space="preserve">onth, they had not participated </w:t>
      </w:r>
      <w:r w:rsidRPr="00E126D5">
        <w:rPr>
          <w:rFonts w:eastAsiaTheme="minorHAnsi"/>
        </w:rPr>
        <w:t>in any physical activity.</w:t>
      </w:r>
    </w:p>
    <w:p w:rsidR="00645E03" w:rsidRPr="00E126D5" w:rsidRDefault="00645E03" w:rsidP="00E126D5">
      <w:pPr>
        <w:jc w:val="center"/>
        <w:rPr>
          <w:rFonts w:eastAsiaTheme="minorHAnsi"/>
          <w:u w:val="single"/>
        </w:rPr>
      </w:pPr>
      <w:r w:rsidRPr="00E126D5">
        <w:rPr>
          <w:rFonts w:eastAsiaTheme="minorHAnsi"/>
          <w:b/>
          <w:bCs/>
          <w:u w:val="single"/>
        </w:rPr>
        <w:t>ADOLESCENTS</w:t>
      </w:r>
    </w:p>
    <w:p w:rsidR="00645E03" w:rsidRPr="00E126D5" w:rsidRDefault="00645E03" w:rsidP="00645E03">
      <w:pPr>
        <w:autoSpaceDE w:val="0"/>
        <w:autoSpaceDN w:val="0"/>
        <w:adjustRightInd w:val="0"/>
        <w:spacing w:before="60" w:after="20" w:line="241" w:lineRule="atLeast"/>
        <w:rPr>
          <w:rStyle w:val="Strong"/>
        </w:rPr>
      </w:pPr>
      <w:r w:rsidRPr="00E126D5">
        <w:rPr>
          <w:rStyle w:val="Strong"/>
        </w:rPr>
        <w:t xml:space="preserve">Overweight and Obesity </w:t>
      </w:r>
    </w:p>
    <w:p w:rsidR="00645E03" w:rsidRPr="00645E03" w:rsidRDefault="00645E03" w:rsidP="00F9158C">
      <w:pPr>
        <w:pStyle w:val="ListParagraph"/>
        <w:numPr>
          <w:ilvl w:val="0"/>
          <w:numId w:val="3"/>
        </w:numPr>
        <w:autoSpaceDE w:val="0"/>
        <w:autoSpaceDN w:val="0"/>
        <w:adjustRightInd w:val="0"/>
        <w:spacing w:after="41" w:line="240" w:lineRule="auto"/>
        <w:rPr>
          <w:rFonts w:ascii="Myriad Pro" w:eastAsiaTheme="minorHAnsi" w:hAnsi="Myriad Pro" w:cs="Myriad Pro"/>
          <w:color w:val="000000"/>
          <w:sz w:val="23"/>
          <w:szCs w:val="23"/>
        </w:rPr>
      </w:pPr>
      <w:r w:rsidRPr="00645E03">
        <w:rPr>
          <w:rFonts w:ascii="Myriad Pro" w:eastAsiaTheme="minorHAnsi" w:hAnsi="Myriad Pro" w:cs="Myriad Pro"/>
          <w:color w:val="000000"/>
          <w:sz w:val="23"/>
          <w:szCs w:val="23"/>
        </w:rPr>
        <w:t>11.9% were overweight (≥ 85</w:t>
      </w:r>
      <w:r w:rsidRPr="00645E03">
        <w:rPr>
          <w:rFonts w:ascii="Myriad Pro" w:eastAsiaTheme="minorHAnsi" w:hAnsi="Myriad Pro" w:cs="Myriad Pro"/>
          <w:color w:val="000000"/>
          <w:sz w:val="14"/>
          <w:szCs w:val="14"/>
        </w:rPr>
        <w:t xml:space="preserve">th </w:t>
      </w:r>
      <w:r w:rsidRPr="00645E03">
        <w:rPr>
          <w:rFonts w:ascii="Myriad Pro" w:eastAsiaTheme="minorHAnsi" w:hAnsi="Myriad Pro" w:cs="Myriad Pro"/>
          <w:color w:val="000000"/>
          <w:sz w:val="23"/>
          <w:szCs w:val="23"/>
        </w:rPr>
        <w:t>and &lt; 95</w:t>
      </w:r>
      <w:r w:rsidRPr="00645E03">
        <w:rPr>
          <w:rFonts w:ascii="Myriad Pro" w:eastAsiaTheme="minorHAnsi" w:hAnsi="Myriad Pro" w:cs="Myriad Pro"/>
          <w:color w:val="000000"/>
          <w:sz w:val="14"/>
          <w:szCs w:val="14"/>
        </w:rPr>
        <w:t xml:space="preserve">th </w:t>
      </w:r>
      <w:r w:rsidRPr="00645E03">
        <w:rPr>
          <w:rFonts w:ascii="Myriad Pro" w:eastAsiaTheme="minorHAnsi" w:hAnsi="Myriad Pro" w:cs="Myriad Pro"/>
          <w:color w:val="000000"/>
          <w:sz w:val="23"/>
          <w:szCs w:val="23"/>
        </w:rPr>
        <w:t xml:space="preserve">percentiles for BMI by age and sex, based on reference data). </w:t>
      </w:r>
    </w:p>
    <w:p w:rsidR="00645E03" w:rsidRPr="00645E03" w:rsidRDefault="00645E03" w:rsidP="00F9158C">
      <w:pPr>
        <w:pStyle w:val="ListParagraph"/>
        <w:numPr>
          <w:ilvl w:val="0"/>
          <w:numId w:val="3"/>
        </w:numPr>
        <w:autoSpaceDE w:val="0"/>
        <w:autoSpaceDN w:val="0"/>
        <w:adjustRightInd w:val="0"/>
        <w:spacing w:after="180" w:line="240" w:lineRule="auto"/>
        <w:rPr>
          <w:rFonts w:ascii="Myriad Pro" w:eastAsiaTheme="minorHAnsi" w:hAnsi="Myriad Pro" w:cs="Myriad Pro"/>
          <w:color w:val="000000"/>
          <w:sz w:val="23"/>
          <w:szCs w:val="23"/>
        </w:rPr>
      </w:pPr>
      <w:r w:rsidRPr="00645E03">
        <w:rPr>
          <w:rFonts w:ascii="Myriad Pro" w:eastAsiaTheme="minorHAnsi" w:hAnsi="Myriad Pro" w:cs="Myriad Pro"/>
          <w:color w:val="000000"/>
          <w:sz w:val="23"/>
          <w:szCs w:val="23"/>
        </w:rPr>
        <w:t>10.4% were obese (≥95</w:t>
      </w:r>
      <w:r w:rsidRPr="00645E03">
        <w:rPr>
          <w:rFonts w:ascii="Myriad Pro" w:eastAsiaTheme="minorHAnsi" w:hAnsi="Myriad Pro" w:cs="Myriad Pro"/>
          <w:color w:val="000000"/>
          <w:sz w:val="14"/>
          <w:szCs w:val="14"/>
        </w:rPr>
        <w:t xml:space="preserve">th </w:t>
      </w:r>
      <w:r w:rsidRPr="00645E03">
        <w:rPr>
          <w:rFonts w:ascii="Myriad Pro" w:eastAsiaTheme="minorHAnsi" w:hAnsi="Myriad Pro" w:cs="Myriad Pro"/>
          <w:color w:val="000000"/>
          <w:sz w:val="23"/>
          <w:szCs w:val="23"/>
        </w:rPr>
        <w:t xml:space="preserve">percentile BMI by age and sex, based on reference data). </w:t>
      </w:r>
    </w:p>
    <w:p w:rsidR="00730D90" w:rsidRPr="00E126D5" w:rsidRDefault="00645E03" w:rsidP="00730D90">
      <w:pPr>
        <w:autoSpaceDE w:val="0"/>
        <w:autoSpaceDN w:val="0"/>
        <w:adjustRightInd w:val="0"/>
        <w:spacing w:after="60" w:line="241" w:lineRule="atLeast"/>
        <w:rPr>
          <w:rStyle w:val="Strong"/>
        </w:rPr>
      </w:pPr>
      <w:r w:rsidRPr="00E126D5">
        <w:rPr>
          <w:rStyle w:val="Strong"/>
        </w:rPr>
        <w:t>Unhealthy Dietary Behaviors</w:t>
      </w:r>
    </w:p>
    <w:p w:rsidR="00484489" w:rsidRDefault="00645E03" w:rsidP="00F9158C">
      <w:pPr>
        <w:pStyle w:val="ListParagraph"/>
        <w:numPr>
          <w:ilvl w:val="0"/>
          <w:numId w:val="6"/>
        </w:numPr>
        <w:autoSpaceDE w:val="0"/>
        <w:autoSpaceDN w:val="0"/>
        <w:adjustRightInd w:val="0"/>
        <w:spacing w:after="60" w:line="241" w:lineRule="atLeast"/>
        <w:rPr>
          <w:rFonts w:eastAsiaTheme="minorHAnsi" w:cs="Arial"/>
          <w:color w:val="000000"/>
        </w:rPr>
      </w:pPr>
      <w:r w:rsidRPr="00730D90">
        <w:rPr>
          <w:rFonts w:eastAsiaTheme="minorHAnsi" w:cs="Arial"/>
          <w:b/>
          <w:bCs/>
          <w:i/>
          <w:iCs/>
          <w:color w:val="000000"/>
        </w:rPr>
        <w:t>Fruit consumption</w:t>
      </w:r>
      <w:r w:rsidRPr="00730D90">
        <w:rPr>
          <w:rFonts w:eastAsiaTheme="minorHAnsi" w:cs="Arial"/>
          <w:color w:val="000000"/>
        </w:rPr>
        <w:t>:</w:t>
      </w:r>
    </w:p>
    <w:p w:rsidR="00645E03" w:rsidRPr="00607351" w:rsidRDefault="00607351" w:rsidP="00514FCC">
      <w:pPr>
        <w:autoSpaceDE w:val="0"/>
        <w:autoSpaceDN w:val="0"/>
        <w:adjustRightInd w:val="0"/>
        <w:spacing w:after="28" w:line="240" w:lineRule="auto"/>
        <w:ind w:left="810" w:hanging="360"/>
        <w:rPr>
          <w:rFonts w:eastAsiaTheme="minorHAnsi" w:cs="Arial"/>
          <w:color w:val="000000"/>
        </w:rPr>
      </w:pPr>
      <w:r>
        <w:rPr>
          <w:rFonts w:eastAsiaTheme="minorHAnsi" w:cs="Arial"/>
          <w:color w:val="000000"/>
        </w:rPr>
        <w:t xml:space="preserve"> </w:t>
      </w:r>
      <w:r w:rsidR="00645E03" w:rsidRPr="00607351">
        <w:rPr>
          <w:rFonts w:eastAsiaTheme="minorHAnsi" w:cs="Arial"/>
          <w:color w:val="000000"/>
        </w:rPr>
        <w:t xml:space="preserve">72.6% ate fruits or drank 100% fruit juice </w:t>
      </w:r>
      <w:r w:rsidR="00645E03" w:rsidRPr="00607351">
        <w:rPr>
          <w:rFonts w:eastAsiaTheme="minorHAnsi" w:cs="Arial"/>
          <w:i/>
          <w:color w:val="000000" w:themeColor="text1"/>
          <w:u w:val="single"/>
        </w:rPr>
        <w:t>less than 2 times per day</w:t>
      </w:r>
      <w:r w:rsidR="00645E03" w:rsidRPr="00607351">
        <w:rPr>
          <w:rFonts w:eastAsiaTheme="minorHAnsi" w:cs="Arial"/>
          <w:color w:val="000000"/>
        </w:rPr>
        <w:t xml:space="preserve"> during the 7 days before the survey.</w:t>
      </w:r>
    </w:p>
    <w:p w:rsidR="00645E03" w:rsidRPr="00607351" w:rsidRDefault="00645E03" w:rsidP="00F9158C">
      <w:pPr>
        <w:pStyle w:val="ListParagraph"/>
        <w:numPr>
          <w:ilvl w:val="0"/>
          <w:numId w:val="5"/>
        </w:numPr>
        <w:autoSpaceDE w:val="0"/>
        <w:autoSpaceDN w:val="0"/>
        <w:adjustRightInd w:val="0"/>
        <w:spacing w:line="240" w:lineRule="auto"/>
        <w:rPr>
          <w:rFonts w:eastAsiaTheme="minorHAnsi" w:cs="Arial"/>
          <w:color w:val="000000"/>
        </w:rPr>
      </w:pPr>
      <w:r w:rsidRPr="00607351">
        <w:rPr>
          <w:rFonts w:eastAsiaTheme="minorHAnsi" w:cs="Arial"/>
          <w:b/>
          <w:bCs/>
          <w:i/>
          <w:iCs/>
          <w:color w:val="000000"/>
        </w:rPr>
        <w:t>Vegetable consumption</w:t>
      </w:r>
      <w:r w:rsidRPr="00607351">
        <w:rPr>
          <w:rFonts w:eastAsiaTheme="minorHAnsi" w:cs="Arial"/>
          <w:color w:val="000000"/>
        </w:rPr>
        <w:t xml:space="preserve">: </w:t>
      </w:r>
    </w:p>
    <w:p w:rsidR="00607351" w:rsidRDefault="00645E03" w:rsidP="00514FCC">
      <w:pPr>
        <w:pStyle w:val="ListParagraph"/>
        <w:numPr>
          <w:ilvl w:val="0"/>
          <w:numId w:val="0"/>
        </w:numPr>
        <w:autoSpaceDE w:val="0"/>
        <w:autoSpaceDN w:val="0"/>
        <w:adjustRightInd w:val="0"/>
        <w:spacing w:after="120" w:line="240" w:lineRule="auto"/>
        <w:ind w:left="810"/>
        <w:rPr>
          <w:rFonts w:eastAsiaTheme="minorHAnsi" w:cs="Arial"/>
          <w:color w:val="000000"/>
          <w:szCs w:val="22"/>
        </w:rPr>
      </w:pPr>
      <w:r w:rsidRPr="00607351">
        <w:rPr>
          <w:rFonts w:eastAsiaTheme="minorHAnsi" w:cs="Arial"/>
          <w:color w:val="000000"/>
          <w:szCs w:val="22"/>
        </w:rPr>
        <w:lastRenderedPageBreak/>
        <w:t xml:space="preserve">89.6% ate vegetables </w:t>
      </w:r>
      <w:r w:rsidRPr="00607351">
        <w:rPr>
          <w:rFonts w:eastAsiaTheme="minorHAnsi" w:cs="Arial"/>
          <w:i/>
          <w:color w:val="000000"/>
          <w:szCs w:val="22"/>
          <w:u w:val="single"/>
        </w:rPr>
        <w:t>less than 3 times per day</w:t>
      </w:r>
      <w:r w:rsidRPr="00607351">
        <w:rPr>
          <w:rFonts w:eastAsiaTheme="minorHAnsi" w:cs="Arial"/>
          <w:color w:val="000000"/>
          <w:szCs w:val="22"/>
        </w:rPr>
        <w:t xml:space="preserve"> during the 7 days before the survey (green salad; potatoes, excluding French fries, fried potatoes, or potato chips; carrots; or other vegetables).</w:t>
      </w:r>
    </w:p>
    <w:p w:rsidR="00730D90" w:rsidRPr="00730D90" w:rsidRDefault="00730D90" w:rsidP="00607351">
      <w:pPr>
        <w:pStyle w:val="ListParagraph"/>
        <w:numPr>
          <w:ilvl w:val="0"/>
          <w:numId w:val="0"/>
        </w:numPr>
        <w:autoSpaceDE w:val="0"/>
        <w:autoSpaceDN w:val="0"/>
        <w:adjustRightInd w:val="0"/>
        <w:spacing w:after="120" w:line="240" w:lineRule="auto"/>
        <w:ind w:left="810"/>
        <w:rPr>
          <w:rFonts w:eastAsiaTheme="minorHAnsi" w:cs="Arial"/>
          <w:color w:val="000000"/>
          <w:sz w:val="8"/>
          <w:szCs w:val="8"/>
        </w:rPr>
      </w:pPr>
    </w:p>
    <w:p w:rsidR="00607351" w:rsidRDefault="00607351" w:rsidP="00F9158C">
      <w:pPr>
        <w:pStyle w:val="ListParagraph"/>
        <w:numPr>
          <w:ilvl w:val="0"/>
          <w:numId w:val="5"/>
        </w:numPr>
        <w:autoSpaceDE w:val="0"/>
        <w:autoSpaceDN w:val="0"/>
        <w:adjustRightInd w:val="0"/>
        <w:spacing w:after="60" w:line="240" w:lineRule="auto"/>
        <w:rPr>
          <w:rFonts w:ascii="Myriad Pro" w:eastAsiaTheme="minorHAnsi" w:hAnsi="Myriad Pro" w:cs="Myriad Pro"/>
          <w:color w:val="000000"/>
          <w:sz w:val="23"/>
          <w:szCs w:val="23"/>
        </w:rPr>
      </w:pPr>
      <w:r w:rsidRPr="00607351">
        <w:rPr>
          <w:rFonts w:eastAsiaTheme="minorHAnsi" w:cs="Arial"/>
          <w:b/>
          <w:bCs/>
          <w:i/>
          <w:iCs/>
          <w:color w:val="000000"/>
        </w:rPr>
        <w:t>Sugar-sweetened beverage consumption</w:t>
      </w:r>
      <w:r w:rsidRPr="00607351">
        <w:rPr>
          <w:rFonts w:eastAsiaTheme="minorHAnsi" w:cs="Arial"/>
          <w:color w:val="000000"/>
        </w:rPr>
        <w:t>:</w:t>
      </w:r>
      <w:r w:rsidRPr="00607351">
        <w:rPr>
          <w:rFonts w:ascii="Myriad Pro" w:eastAsiaTheme="minorHAnsi" w:hAnsi="Myriad Pro" w:cs="Myriad Pro"/>
          <w:color w:val="000000"/>
          <w:sz w:val="23"/>
          <w:szCs w:val="23"/>
        </w:rPr>
        <w:t xml:space="preserve"> </w:t>
      </w:r>
    </w:p>
    <w:p w:rsidR="00607351" w:rsidRPr="002C1A7C" w:rsidRDefault="00607351" w:rsidP="00514FCC">
      <w:pPr>
        <w:pStyle w:val="ListParagraph"/>
        <w:numPr>
          <w:ilvl w:val="0"/>
          <w:numId w:val="0"/>
        </w:numPr>
        <w:autoSpaceDE w:val="0"/>
        <w:autoSpaceDN w:val="0"/>
        <w:adjustRightInd w:val="0"/>
        <w:spacing w:after="180" w:line="240" w:lineRule="auto"/>
        <w:ind w:left="810"/>
        <w:rPr>
          <w:rFonts w:eastAsiaTheme="minorHAnsi" w:cs="Arial"/>
          <w:color w:val="000000"/>
          <w:szCs w:val="22"/>
        </w:rPr>
      </w:pPr>
      <w:r w:rsidRPr="002C1A7C">
        <w:rPr>
          <w:rFonts w:eastAsiaTheme="minorHAnsi" w:cs="Arial"/>
          <w:color w:val="000000"/>
          <w:szCs w:val="22"/>
        </w:rPr>
        <w:t xml:space="preserve">25.7% drank a can, bottle, or glass of soda or pop (not including diet soda or diet pop) at least one time per day during the 7 days before the survey. </w:t>
      </w:r>
    </w:p>
    <w:p w:rsidR="00645E03" w:rsidRPr="00E126D5" w:rsidRDefault="000B5922" w:rsidP="00FB2524">
      <w:pPr>
        <w:autoSpaceDE w:val="0"/>
        <w:autoSpaceDN w:val="0"/>
        <w:adjustRightInd w:val="0"/>
        <w:spacing w:after="60" w:line="240" w:lineRule="auto"/>
        <w:rPr>
          <w:rStyle w:val="Strong"/>
        </w:rPr>
      </w:pPr>
      <w:r w:rsidRPr="00E126D5">
        <w:rPr>
          <w:rStyle w:val="Strong"/>
        </w:rPr>
        <w:t>Physical Activity</w:t>
      </w:r>
    </w:p>
    <w:p w:rsidR="001D2864" w:rsidRPr="001D2864" w:rsidRDefault="001D2864" w:rsidP="00F9158C">
      <w:pPr>
        <w:pStyle w:val="ListParagraph"/>
        <w:numPr>
          <w:ilvl w:val="0"/>
          <w:numId w:val="4"/>
        </w:numPr>
        <w:autoSpaceDE w:val="0"/>
        <w:autoSpaceDN w:val="0"/>
        <w:adjustRightInd w:val="0"/>
        <w:spacing w:after="80" w:line="240" w:lineRule="auto"/>
        <w:rPr>
          <w:rFonts w:ascii="Myriad Pro" w:eastAsiaTheme="minorHAnsi" w:hAnsi="Myriad Pro" w:cs="Myriad Pro"/>
          <w:color w:val="000000"/>
          <w:sz w:val="23"/>
          <w:szCs w:val="23"/>
        </w:rPr>
      </w:pPr>
      <w:r w:rsidRPr="001D2864">
        <w:rPr>
          <w:rFonts w:eastAsiaTheme="minorHAnsi" w:cs="Arial"/>
          <w:b/>
          <w:bCs/>
          <w:i/>
          <w:iCs/>
          <w:color w:val="000000"/>
        </w:rPr>
        <w:t>Achieved recommended level of activity</w:t>
      </w:r>
      <w:r w:rsidRPr="001D2864">
        <w:rPr>
          <w:rFonts w:eastAsiaTheme="minorHAnsi" w:cs="Arial"/>
          <w:color w:val="000000"/>
        </w:rPr>
        <w:t xml:space="preserve">: </w:t>
      </w:r>
    </w:p>
    <w:p w:rsidR="001D2864" w:rsidRPr="002C1A7C" w:rsidRDefault="001D2864" w:rsidP="00514FCC">
      <w:pPr>
        <w:pStyle w:val="ListParagraph"/>
        <w:numPr>
          <w:ilvl w:val="0"/>
          <w:numId w:val="0"/>
        </w:numPr>
        <w:autoSpaceDE w:val="0"/>
        <w:autoSpaceDN w:val="0"/>
        <w:adjustRightInd w:val="0"/>
        <w:spacing w:after="60" w:line="240" w:lineRule="auto"/>
        <w:ind w:left="720"/>
        <w:rPr>
          <w:rFonts w:eastAsiaTheme="minorHAnsi" w:cs="Arial"/>
          <w:color w:val="000000"/>
          <w:szCs w:val="22"/>
        </w:rPr>
      </w:pPr>
      <w:r w:rsidRPr="002C1A7C">
        <w:rPr>
          <w:rFonts w:eastAsiaTheme="minorHAnsi" w:cs="Arial"/>
          <w:color w:val="000000"/>
          <w:szCs w:val="22"/>
        </w:rPr>
        <w:t xml:space="preserve">Only 21.1% were physically active* for a total of at least 60 minutes per day on each of the 7 days prior to the survey. </w:t>
      </w:r>
    </w:p>
    <w:p w:rsidR="001D2864" w:rsidRPr="001D2864" w:rsidRDefault="001D2864" w:rsidP="001D2864">
      <w:pPr>
        <w:pStyle w:val="ListParagraph"/>
        <w:numPr>
          <w:ilvl w:val="0"/>
          <w:numId w:val="0"/>
        </w:numPr>
        <w:autoSpaceDE w:val="0"/>
        <w:autoSpaceDN w:val="0"/>
        <w:adjustRightInd w:val="0"/>
        <w:spacing w:after="80" w:line="240" w:lineRule="auto"/>
        <w:ind w:left="720"/>
        <w:rPr>
          <w:rFonts w:ascii="Myriad Pro" w:eastAsiaTheme="minorHAnsi" w:hAnsi="Myriad Pro" w:cs="Myriad Pro"/>
          <w:color w:val="000000"/>
          <w:sz w:val="8"/>
          <w:szCs w:val="8"/>
        </w:rPr>
      </w:pPr>
    </w:p>
    <w:p w:rsidR="001D2864" w:rsidRPr="002C1A7C" w:rsidRDefault="001D2864" w:rsidP="00F9158C">
      <w:pPr>
        <w:pStyle w:val="ListParagraph"/>
        <w:numPr>
          <w:ilvl w:val="0"/>
          <w:numId w:val="4"/>
        </w:numPr>
        <w:autoSpaceDE w:val="0"/>
        <w:autoSpaceDN w:val="0"/>
        <w:adjustRightInd w:val="0"/>
        <w:spacing w:line="240" w:lineRule="auto"/>
        <w:rPr>
          <w:rFonts w:eastAsiaTheme="minorHAnsi" w:cs="Arial"/>
          <w:color w:val="000000"/>
        </w:rPr>
      </w:pPr>
      <w:r w:rsidRPr="002C1A7C">
        <w:rPr>
          <w:rFonts w:eastAsiaTheme="minorHAnsi" w:cs="Arial"/>
          <w:b/>
          <w:bCs/>
          <w:i/>
          <w:iCs/>
          <w:color w:val="000000"/>
        </w:rPr>
        <w:t xml:space="preserve">Participated in daily physical education: </w:t>
      </w:r>
    </w:p>
    <w:p w:rsidR="001D2864" w:rsidRPr="002C1A7C" w:rsidRDefault="001D2864" w:rsidP="00514FCC">
      <w:pPr>
        <w:pStyle w:val="ListParagraph"/>
        <w:numPr>
          <w:ilvl w:val="0"/>
          <w:numId w:val="0"/>
        </w:numPr>
        <w:autoSpaceDE w:val="0"/>
        <w:autoSpaceDN w:val="0"/>
        <w:adjustRightInd w:val="0"/>
        <w:spacing w:after="120" w:line="240" w:lineRule="auto"/>
        <w:ind w:left="720"/>
        <w:rPr>
          <w:rFonts w:eastAsiaTheme="minorHAnsi" w:cs="Arial"/>
          <w:color w:val="000000"/>
          <w:szCs w:val="22"/>
        </w:rPr>
      </w:pPr>
      <w:r w:rsidRPr="002C1A7C">
        <w:rPr>
          <w:rFonts w:eastAsiaTheme="minorHAnsi" w:cs="Arial"/>
          <w:color w:val="000000"/>
          <w:szCs w:val="22"/>
        </w:rPr>
        <w:t xml:space="preserve">32.2% of adolescents attended daily physical education classes in an average week (when they were in school). </w:t>
      </w:r>
    </w:p>
    <w:p w:rsidR="002C1A7C" w:rsidRPr="00E126D5" w:rsidRDefault="004C1BDB" w:rsidP="00FB2524">
      <w:pPr>
        <w:autoSpaceDE w:val="0"/>
        <w:autoSpaceDN w:val="0"/>
        <w:adjustRightInd w:val="0"/>
        <w:spacing w:before="60" w:after="60" w:line="241" w:lineRule="atLeast"/>
        <w:rPr>
          <w:rStyle w:val="Strong"/>
        </w:rPr>
      </w:pPr>
      <w:r w:rsidRPr="00E126D5">
        <w:rPr>
          <w:rStyle w:val="Strong"/>
        </w:rPr>
        <w:t>P</w:t>
      </w:r>
      <w:r w:rsidR="002C1A7C" w:rsidRPr="00E126D5">
        <w:rPr>
          <w:rStyle w:val="Strong"/>
        </w:rPr>
        <w:t xml:space="preserve">hysical Inactivity </w:t>
      </w:r>
    </w:p>
    <w:p w:rsidR="002C1A7C" w:rsidRDefault="002C1A7C" w:rsidP="00F9158C">
      <w:pPr>
        <w:pStyle w:val="ListParagraph"/>
        <w:numPr>
          <w:ilvl w:val="0"/>
          <w:numId w:val="4"/>
        </w:numPr>
        <w:autoSpaceDE w:val="0"/>
        <w:autoSpaceDN w:val="0"/>
        <w:adjustRightInd w:val="0"/>
        <w:spacing w:after="28" w:line="240" w:lineRule="auto"/>
        <w:rPr>
          <w:rFonts w:eastAsiaTheme="minorHAnsi" w:cs="Arial"/>
          <w:color w:val="000000"/>
        </w:rPr>
      </w:pPr>
      <w:r w:rsidRPr="002C1A7C">
        <w:rPr>
          <w:rFonts w:eastAsiaTheme="minorHAnsi" w:cs="Arial"/>
          <w:b/>
          <w:bCs/>
          <w:i/>
          <w:iCs/>
          <w:color w:val="000000"/>
        </w:rPr>
        <w:t>No activity</w:t>
      </w:r>
      <w:r w:rsidRPr="002C1A7C">
        <w:rPr>
          <w:rFonts w:eastAsiaTheme="minorHAnsi" w:cs="Arial"/>
          <w:color w:val="000000"/>
        </w:rPr>
        <w:t xml:space="preserve">: </w:t>
      </w:r>
    </w:p>
    <w:p w:rsidR="002C1A7C" w:rsidRPr="002C1A7C" w:rsidRDefault="002C1A7C" w:rsidP="005821D1">
      <w:pPr>
        <w:pStyle w:val="ListParagraph"/>
        <w:numPr>
          <w:ilvl w:val="0"/>
          <w:numId w:val="0"/>
        </w:numPr>
        <w:autoSpaceDE w:val="0"/>
        <w:autoSpaceDN w:val="0"/>
        <w:adjustRightInd w:val="0"/>
        <w:spacing w:after="120" w:line="240" w:lineRule="auto"/>
        <w:ind w:left="720"/>
        <w:rPr>
          <w:rFonts w:eastAsiaTheme="minorHAnsi" w:cs="Arial"/>
          <w:color w:val="000000"/>
          <w:szCs w:val="22"/>
        </w:rPr>
      </w:pPr>
      <w:r w:rsidRPr="002C1A7C">
        <w:rPr>
          <w:rFonts w:eastAsiaTheme="minorHAnsi" w:cs="Arial"/>
          <w:color w:val="000000"/>
          <w:szCs w:val="22"/>
        </w:rPr>
        <w:t xml:space="preserve">13.4% did not participate in at least 60 minutes of physical activity on any day during the 7 days prior to the survey. </w:t>
      </w:r>
    </w:p>
    <w:p w:rsidR="002C1A7C" w:rsidRPr="002C1A7C" w:rsidRDefault="002C1A7C" w:rsidP="00F9158C">
      <w:pPr>
        <w:pStyle w:val="ListParagraph"/>
        <w:numPr>
          <w:ilvl w:val="0"/>
          <w:numId w:val="4"/>
        </w:numPr>
        <w:autoSpaceDE w:val="0"/>
        <w:autoSpaceDN w:val="0"/>
        <w:adjustRightInd w:val="0"/>
        <w:spacing w:after="80" w:line="240" w:lineRule="auto"/>
        <w:rPr>
          <w:rFonts w:eastAsiaTheme="minorHAnsi" w:cs="Arial"/>
          <w:color w:val="000000"/>
          <w:szCs w:val="22"/>
        </w:rPr>
      </w:pPr>
      <w:r w:rsidRPr="002C1A7C">
        <w:rPr>
          <w:rFonts w:eastAsiaTheme="minorHAnsi" w:cs="Arial"/>
          <w:color w:val="000000"/>
          <w:szCs w:val="22"/>
        </w:rPr>
        <w:t xml:space="preserve">23.7% watched television 3 or more hours per day on an average school day. </w:t>
      </w:r>
    </w:p>
    <w:p w:rsidR="00732BED" w:rsidRDefault="00732BED" w:rsidP="007B3FFF">
      <w:pPr>
        <w:autoSpaceDE w:val="0"/>
        <w:autoSpaceDN w:val="0"/>
        <w:adjustRightInd w:val="0"/>
        <w:spacing w:after="0"/>
        <w:jc w:val="center"/>
        <w:rPr>
          <w:rFonts w:cs="Arial"/>
          <w:b/>
          <w:bCs/>
          <w:color w:val="1F497D" w:themeColor="text2"/>
          <w:spacing w:val="-5"/>
          <w:sz w:val="28"/>
          <w:szCs w:val="28"/>
          <w:u w:val="single"/>
        </w:rPr>
      </w:pPr>
    </w:p>
    <w:p w:rsidR="007B3FFF" w:rsidRPr="00E126D5" w:rsidRDefault="003979FE" w:rsidP="00E126D5">
      <w:pPr>
        <w:jc w:val="center"/>
        <w:rPr>
          <w:b/>
          <w:u w:val="single"/>
        </w:rPr>
      </w:pPr>
      <w:r w:rsidRPr="00E126D5">
        <w:rPr>
          <w:b/>
          <w:u w:val="single"/>
        </w:rPr>
        <w:t>CHILDREN</w:t>
      </w:r>
    </w:p>
    <w:p w:rsidR="00016B08" w:rsidRPr="00016B08" w:rsidRDefault="003979FE" w:rsidP="007B3FFF">
      <w:pPr>
        <w:autoSpaceDE w:val="0"/>
        <w:autoSpaceDN w:val="0"/>
        <w:adjustRightInd w:val="0"/>
        <w:spacing w:after="0"/>
        <w:rPr>
          <w:rFonts w:eastAsiaTheme="minorHAnsi" w:cs="Arial"/>
          <w:b/>
          <w:bCs/>
          <w:color w:val="403152" w:themeColor="accent4" w:themeShade="80"/>
          <w:sz w:val="24"/>
          <w:szCs w:val="24"/>
        </w:rPr>
      </w:pPr>
      <w:r w:rsidRPr="003979FE">
        <w:rPr>
          <w:rFonts w:eastAsiaTheme="minorHAnsi" w:cs="Arial"/>
          <w:b/>
          <w:bCs/>
          <w:color w:val="403152" w:themeColor="accent4" w:themeShade="80"/>
          <w:sz w:val="24"/>
          <w:szCs w:val="24"/>
        </w:rPr>
        <w:t xml:space="preserve">Overweight and Obesity </w:t>
      </w:r>
    </w:p>
    <w:p w:rsidR="00016B08" w:rsidRPr="00016B08" w:rsidRDefault="003979FE" w:rsidP="002F02E9">
      <w:pPr>
        <w:pStyle w:val="ListParagraph"/>
        <w:rPr>
          <w:rFonts w:ascii="Myriad Pro" w:eastAsiaTheme="minorHAnsi" w:hAnsi="Myriad Pro" w:cs="Myriad Pro"/>
          <w:sz w:val="23"/>
          <w:szCs w:val="23"/>
        </w:rPr>
      </w:pPr>
      <w:r w:rsidRPr="00016B08">
        <w:rPr>
          <w:rFonts w:eastAsiaTheme="minorHAnsi"/>
        </w:rPr>
        <w:t xml:space="preserve">Breastfeeding </w:t>
      </w:r>
    </w:p>
    <w:p w:rsidR="003979FE" w:rsidRPr="003979FE" w:rsidRDefault="003979FE" w:rsidP="002F02E9">
      <w:pPr>
        <w:pStyle w:val="ListParagraph"/>
        <w:numPr>
          <w:ilvl w:val="0"/>
          <w:numId w:val="0"/>
        </w:numPr>
        <w:ind w:left="810"/>
        <w:rPr>
          <w:rFonts w:eastAsiaTheme="minorHAnsi"/>
        </w:rPr>
      </w:pPr>
      <w:r w:rsidRPr="003979FE">
        <w:rPr>
          <w:rFonts w:eastAsiaTheme="minorHAnsi"/>
        </w:rPr>
        <w:t xml:space="preserve">Increasing breastfeeding initiation, duration, and exclusivity is a priority strategy in CDC’s efforts to decrease the rate of childhood obesity throughout the United States. </w:t>
      </w:r>
    </w:p>
    <w:p w:rsidR="00FB2524" w:rsidRPr="002F02E9" w:rsidRDefault="00016B08" w:rsidP="00F9158C">
      <w:pPr>
        <w:pStyle w:val="ListParagraph"/>
        <w:numPr>
          <w:ilvl w:val="1"/>
          <w:numId w:val="40"/>
        </w:numPr>
        <w:rPr>
          <w:rFonts w:eastAsiaTheme="minorHAnsi" w:cs="Arial"/>
          <w:szCs w:val="22"/>
        </w:rPr>
      </w:pPr>
      <w:r w:rsidRPr="002F02E9">
        <w:rPr>
          <w:rFonts w:eastAsiaTheme="minorHAnsi" w:cs="Arial"/>
          <w:szCs w:val="22"/>
        </w:rPr>
        <w:t>82.8% of infants were ever b</w:t>
      </w:r>
      <w:r w:rsidR="00FB2524" w:rsidRPr="002F02E9">
        <w:rPr>
          <w:rFonts w:eastAsiaTheme="minorHAnsi" w:cs="Arial"/>
          <w:szCs w:val="22"/>
        </w:rPr>
        <w:t xml:space="preserve">reastfed; </w:t>
      </w:r>
      <w:r w:rsidR="003979FE" w:rsidRPr="002F02E9">
        <w:rPr>
          <w:rFonts w:eastAsiaTheme="minorHAnsi" w:cs="Arial"/>
          <w:szCs w:val="22"/>
        </w:rPr>
        <w:t xml:space="preserve"> </w:t>
      </w:r>
    </w:p>
    <w:p w:rsidR="00FB2524" w:rsidRPr="002F02E9" w:rsidRDefault="00FB2524" w:rsidP="00F9158C">
      <w:pPr>
        <w:pStyle w:val="ListParagraph"/>
        <w:numPr>
          <w:ilvl w:val="1"/>
          <w:numId w:val="40"/>
        </w:numPr>
        <w:rPr>
          <w:rFonts w:eastAsiaTheme="minorHAnsi" w:cs="Arial"/>
          <w:szCs w:val="22"/>
        </w:rPr>
      </w:pPr>
      <w:r w:rsidRPr="002F02E9">
        <w:rPr>
          <w:rFonts w:eastAsiaTheme="minorHAnsi" w:cs="Arial"/>
          <w:szCs w:val="22"/>
        </w:rPr>
        <w:t xml:space="preserve">61.1% of infants were Breastfed for at least 6 months. </w:t>
      </w:r>
    </w:p>
    <w:p w:rsidR="003979FE" w:rsidRPr="002F02E9" w:rsidRDefault="003979FE" w:rsidP="002F02E9">
      <w:pPr>
        <w:pStyle w:val="ListParagraph"/>
      </w:pPr>
      <w:r w:rsidRPr="002F02E9">
        <w:t>Body Mass Index</w:t>
      </w:r>
    </w:p>
    <w:p w:rsidR="003979FE" w:rsidRPr="003979FE" w:rsidRDefault="003979FE" w:rsidP="002F02E9">
      <w:pPr>
        <w:pStyle w:val="ListParagraph"/>
        <w:numPr>
          <w:ilvl w:val="0"/>
          <w:numId w:val="0"/>
        </w:numPr>
        <w:ind w:left="810"/>
        <w:rPr>
          <w:rFonts w:eastAsiaTheme="minorHAnsi"/>
        </w:rPr>
      </w:pPr>
      <w:r w:rsidRPr="003979FE">
        <w:rPr>
          <w:rFonts w:eastAsiaTheme="minorHAnsi"/>
        </w:rPr>
        <w:t xml:space="preserve">Among Montana’s children aged 2 years to less than 5 years* </w:t>
      </w:r>
    </w:p>
    <w:p w:rsidR="003979FE" w:rsidRPr="007E1F67" w:rsidRDefault="003979FE" w:rsidP="00F9158C">
      <w:pPr>
        <w:pStyle w:val="ListParagraph"/>
        <w:numPr>
          <w:ilvl w:val="1"/>
          <w:numId w:val="41"/>
        </w:numPr>
        <w:rPr>
          <w:rFonts w:eastAsiaTheme="minorHAnsi"/>
          <w:szCs w:val="22"/>
        </w:rPr>
      </w:pPr>
      <w:r w:rsidRPr="007E1F67">
        <w:rPr>
          <w:rFonts w:eastAsiaTheme="minorHAnsi"/>
          <w:szCs w:val="22"/>
        </w:rPr>
        <w:t xml:space="preserve">15.9% were overweight (85th to &lt; 95th </w:t>
      </w:r>
      <w:r w:rsidR="007E1F67" w:rsidRPr="007E1F67">
        <w:rPr>
          <w:rFonts w:eastAsiaTheme="minorHAnsi"/>
          <w:szCs w:val="22"/>
        </w:rPr>
        <w:t>percentile BMI-for-Age).</w:t>
      </w:r>
    </w:p>
    <w:p w:rsidR="0030758E" w:rsidRDefault="007E1F67" w:rsidP="00F9158C">
      <w:pPr>
        <w:pStyle w:val="ListParagraph"/>
        <w:numPr>
          <w:ilvl w:val="1"/>
          <w:numId w:val="41"/>
        </w:numPr>
        <w:rPr>
          <w:rFonts w:eastAsiaTheme="minorHAnsi"/>
        </w:rPr>
      </w:pPr>
      <w:r w:rsidRPr="007E1F67">
        <w:rPr>
          <w:rFonts w:eastAsiaTheme="minorHAnsi"/>
        </w:rPr>
        <w:t xml:space="preserve">12.2% were obese (≥ 95th percentile BMI-for-Age). </w:t>
      </w:r>
    </w:p>
    <w:p w:rsidR="00993649" w:rsidRPr="00B03BBB" w:rsidRDefault="00993649" w:rsidP="007747B0">
      <w:pPr>
        <w:pStyle w:val="Heading2"/>
      </w:pPr>
      <w:bookmarkStart w:id="32" w:name="_Toc403370687"/>
      <w:r w:rsidRPr="00B03BBB">
        <w:t>Inequities in Education and Employment for Persons with Disabilities</w:t>
      </w:r>
      <w:bookmarkEnd w:id="32"/>
    </w:p>
    <w:p w:rsidR="00993649" w:rsidRPr="00993649" w:rsidRDefault="00993649" w:rsidP="002F02E9">
      <w:r w:rsidRPr="00993649">
        <w:t xml:space="preserve">Education, employment, and poverty are inextricably tied. A March 2012 report from the Department of Education, Office for Civil Rights summarizes information from the Civil Rights Data Collection (CRDC), the first national data tool for analyzing equity and educational opportunities. The CRDC, from school year 2009-10, is a representative sample covering approximately </w:t>
      </w:r>
      <w:r w:rsidRPr="002F02E9">
        <w:rPr>
          <w:rStyle w:val="Strong"/>
        </w:rPr>
        <w:t>85%</w:t>
      </w:r>
      <w:r w:rsidRPr="00993649">
        <w:t xml:space="preserve"> of the nation’s students. Data are disaggregated by race and ethnicity, English learner status, sex, and by disability under the IDEA and Section 504 statutes. The report reveals that:</w:t>
      </w:r>
    </w:p>
    <w:p w:rsidR="00993649" w:rsidRPr="00993649" w:rsidRDefault="00993649" w:rsidP="002F02E9">
      <w:pPr>
        <w:pStyle w:val="ListParagraph"/>
      </w:pPr>
      <w:r w:rsidRPr="00993649">
        <w:lastRenderedPageBreak/>
        <w:t xml:space="preserve">Students with disabilities are much more likely to be subject to </w:t>
      </w:r>
      <w:r w:rsidRPr="00993649">
        <w:rPr>
          <w:b/>
          <w:i/>
        </w:rPr>
        <w:t>seclusion and restraint</w:t>
      </w:r>
      <w:r w:rsidRPr="00993649">
        <w:t xml:space="preserve">; </w:t>
      </w:r>
    </w:p>
    <w:p w:rsidR="00993649" w:rsidRPr="00993649" w:rsidRDefault="00993649" w:rsidP="002F02E9">
      <w:pPr>
        <w:pStyle w:val="ListParagraph"/>
      </w:pPr>
      <w:r w:rsidRPr="00993649">
        <w:t xml:space="preserve">Students with disabilities from minority racial or ethnic backgrounds, as well as male students, are even </w:t>
      </w:r>
      <w:r w:rsidRPr="00993649">
        <w:rPr>
          <w:b/>
          <w:i/>
        </w:rPr>
        <w:t>more likely</w:t>
      </w:r>
      <w:r w:rsidRPr="00993649">
        <w:t xml:space="preserve"> to be secluded or restrained; and </w:t>
      </w:r>
    </w:p>
    <w:p w:rsidR="00484489" w:rsidRPr="00484489" w:rsidRDefault="00993649" w:rsidP="002F02E9">
      <w:pPr>
        <w:pStyle w:val="ListParagraph"/>
        <w:rPr>
          <w:rFonts w:cs="Arial"/>
          <w:szCs w:val="22"/>
        </w:rPr>
      </w:pPr>
      <w:r w:rsidRPr="00993649">
        <w:t xml:space="preserve">Students covered under IDEA are more than </w:t>
      </w:r>
      <w:r w:rsidRPr="00484489">
        <w:rPr>
          <w:b/>
          <w:i/>
        </w:rPr>
        <w:t>twice as likely</w:t>
      </w:r>
      <w:r w:rsidRPr="00993649">
        <w:t xml:space="preserve"> to receive one or more out-of-school suspensions</w:t>
      </w:r>
      <w:r w:rsidRPr="00484489">
        <w:rPr>
          <w:b/>
        </w:rPr>
        <w:t xml:space="preserve"> </w:t>
      </w:r>
      <w:r w:rsidRPr="00993649">
        <w:t>(Non-IDEA Students = 6%; IDEA Students = 13%).</w:t>
      </w:r>
      <w:r w:rsidRPr="00993649">
        <w:rPr>
          <w:rStyle w:val="FootnoteReference"/>
          <w:rFonts w:cs="Arial"/>
          <w:b/>
          <w:szCs w:val="22"/>
        </w:rPr>
        <w:footnoteReference w:id="38"/>
      </w:r>
    </w:p>
    <w:p w:rsidR="00993649" w:rsidRPr="00484489" w:rsidRDefault="00993649" w:rsidP="002F02E9">
      <w:pPr>
        <w:pStyle w:val="ListParagraph"/>
        <w:rPr>
          <w:rFonts w:cs="Arial"/>
          <w:szCs w:val="22"/>
        </w:rPr>
      </w:pPr>
      <w:r w:rsidRPr="002F02E9">
        <w:t>Students with disabilities (under the IDEA and Section 504 statutes) represent 12% of students in the sample, but nearly 70% of the students who are physically restrained by adults in their schools.</w:t>
      </w:r>
      <w:r w:rsidRPr="00993649">
        <w:rPr>
          <w:rStyle w:val="FootnoteReference"/>
          <w:rFonts w:cs="Arial"/>
          <w:szCs w:val="22"/>
        </w:rPr>
        <w:footnoteReference w:id="39"/>
      </w:r>
      <w:r w:rsidRPr="00484489">
        <w:rPr>
          <w:rFonts w:cs="Arial"/>
          <w:szCs w:val="22"/>
        </w:rPr>
        <w:t xml:space="preserve"> </w:t>
      </w:r>
    </w:p>
    <w:p w:rsidR="00993649" w:rsidRDefault="00993649" w:rsidP="006C5DEA">
      <w:pPr>
        <w:tabs>
          <w:tab w:val="left" w:pos="2340"/>
        </w:tabs>
        <w:spacing w:after="240"/>
        <w:rPr>
          <w:rFonts w:cs="Arial"/>
          <w:sz w:val="23"/>
          <w:szCs w:val="23"/>
        </w:rPr>
      </w:pPr>
      <w:r w:rsidRPr="00993649">
        <w:rPr>
          <w:rFonts w:cs="Arial"/>
          <w:sz w:val="23"/>
          <w:szCs w:val="23"/>
        </w:rPr>
        <w:t>“Throughout the world there is an undeniable link between disability, poverty and exclusion. The denial of equal employment opportunities to people with disabilities forms one of the root causes of the poverty and exclusion of many members of this group.  There is ample evidence that people with disabilities are more likely than non-disabled persons to experience disadvantage, exclusion and discrimination in the labor market and elsewhere.  As a result of these experiences, people with disabilities are disproportionately affected by unemployment.  When they work, they can often b</w:t>
      </w:r>
      <w:r w:rsidR="006C5DEA">
        <w:rPr>
          <w:rFonts w:cs="Arial"/>
          <w:sz w:val="23"/>
          <w:szCs w:val="23"/>
        </w:rPr>
        <w:t>e found outside the formal labo</w:t>
      </w:r>
      <w:r w:rsidRPr="00993649">
        <w:rPr>
          <w:rFonts w:cs="Arial"/>
          <w:sz w:val="23"/>
          <w:szCs w:val="23"/>
        </w:rPr>
        <w:t>r market, performing uninspiring low-paid and low-skilled jobs, offering little or no opportunities for job under</w:t>
      </w:r>
      <w:r>
        <w:rPr>
          <w:rFonts w:cs="Arial"/>
          <w:sz w:val="23"/>
          <w:szCs w:val="23"/>
        </w:rPr>
        <w:t>-</w:t>
      </w:r>
      <w:r w:rsidRPr="00993649">
        <w:rPr>
          <w:rFonts w:cs="Arial"/>
          <w:sz w:val="23"/>
          <w:szCs w:val="23"/>
        </w:rPr>
        <w:t>employed.”</w:t>
      </w:r>
      <w:r w:rsidRPr="00993649">
        <w:rPr>
          <w:rStyle w:val="FootnoteReference"/>
          <w:rFonts w:cs="Arial"/>
          <w:sz w:val="23"/>
          <w:szCs w:val="23"/>
        </w:rPr>
        <w:footnoteReference w:id="40"/>
      </w:r>
    </w:p>
    <w:p w:rsidR="00406F5F" w:rsidRDefault="002F02E9" w:rsidP="002F02E9">
      <w:pPr>
        <w:pStyle w:val="Heading2"/>
      </w:pPr>
      <w:bookmarkStart w:id="33" w:name="_Toc403370688"/>
      <w:r>
        <w:t>State and National Progress</w:t>
      </w:r>
      <w:bookmarkEnd w:id="33"/>
    </w:p>
    <w:p w:rsidR="00406F5F" w:rsidRPr="00FA7FCE" w:rsidRDefault="00406F5F" w:rsidP="00406F5F">
      <w:pPr>
        <w:spacing w:after="0"/>
        <w:jc w:val="center"/>
        <w:rPr>
          <w:rFonts w:cstheme="minorHAnsi"/>
          <w:b/>
          <w:bCs/>
          <w:sz w:val="20"/>
          <w:szCs w:val="20"/>
        </w:rPr>
      </w:pPr>
    </w:p>
    <w:p w:rsidR="00406F5F" w:rsidRPr="00406F5F" w:rsidRDefault="00406F5F" w:rsidP="00406F5F">
      <w:pPr>
        <w:pStyle w:val="NormalWeb"/>
        <w:spacing w:before="0" w:beforeAutospacing="0" w:after="200" w:afterAutospacing="0"/>
        <w:rPr>
          <w:rFonts w:ascii="Arial" w:hAnsi="Arial" w:cs="Arial"/>
          <w:sz w:val="22"/>
          <w:szCs w:val="22"/>
        </w:rPr>
      </w:pPr>
      <w:r w:rsidRPr="00406F5F">
        <w:rPr>
          <w:rFonts w:ascii="Arial" w:hAnsi="Arial" w:cs="Arial"/>
          <w:sz w:val="22"/>
          <w:szCs w:val="22"/>
        </w:rPr>
        <w:t>Since 2010, several national and statewide initiatives have been initiated or improved.</w:t>
      </w:r>
    </w:p>
    <w:p w:rsidR="00406F5F" w:rsidRPr="002F02E9" w:rsidRDefault="00406F5F" w:rsidP="00406F5F">
      <w:pPr>
        <w:spacing w:after="120" w:line="240" w:lineRule="auto"/>
        <w:rPr>
          <w:rStyle w:val="Strong"/>
        </w:rPr>
      </w:pPr>
      <w:r w:rsidRPr="002F02E9">
        <w:rPr>
          <w:rStyle w:val="Strong"/>
        </w:rPr>
        <w:t>In 2010:</w:t>
      </w:r>
    </w:p>
    <w:p w:rsidR="00406F5F" w:rsidRPr="005B1BEB" w:rsidRDefault="00406F5F" w:rsidP="00F9158C">
      <w:pPr>
        <w:pStyle w:val="ListParagraph"/>
        <w:numPr>
          <w:ilvl w:val="0"/>
          <w:numId w:val="87"/>
        </w:numPr>
        <w:rPr>
          <w:rFonts w:cs="Arial"/>
        </w:rPr>
      </w:pPr>
      <w:r w:rsidRPr="002F02E9">
        <w:t>President Obama signed the Patient Protection and Affordable Health Care Act into law On March 23.</w:t>
      </w:r>
      <w:r w:rsidRPr="00406F5F">
        <w:rPr>
          <w:rStyle w:val="FootnoteReference"/>
          <w:rFonts w:eastAsia="Times New Roman" w:cs="Arial"/>
          <w:color w:val="000000"/>
          <w:szCs w:val="22"/>
        </w:rPr>
        <w:footnoteReference w:id="41"/>
      </w:r>
    </w:p>
    <w:p w:rsidR="00406F5F" w:rsidRPr="005B1BEB" w:rsidRDefault="00406F5F" w:rsidP="00F9158C">
      <w:pPr>
        <w:pStyle w:val="ListParagraph"/>
        <w:numPr>
          <w:ilvl w:val="0"/>
          <w:numId w:val="87"/>
        </w:numPr>
        <w:rPr>
          <w:rFonts w:cs="Arial"/>
        </w:rPr>
      </w:pPr>
      <w:r w:rsidRPr="005B1BEB">
        <w:rPr>
          <w:rFonts w:cs="Arial"/>
        </w:rPr>
        <w:t>July 26 marked the 20th anniversary of the Americans with Disabilities Act (ADA), landmark legislation that transformed the American landscape by requiring the installation of ramps, lifts, curb cuts, widened doorways and more to make America more accessible to individuals with disabilities.</w:t>
      </w:r>
      <w:r w:rsidRPr="00406F5F">
        <w:rPr>
          <w:rStyle w:val="FootnoteReference"/>
          <w:rFonts w:eastAsia="Times New Roman" w:cs="Arial"/>
          <w:color w:val="000000"/>
          <w:szCs w:val="22"/>
        </w:rPr>
        <w:footnoteReference w:id="42"/>
      </w:r>
      <w:r w:rsidRPr="005B1BEB">
        <w:rPr>
          <w:rFonts w:cs="Arial"/>
        </w:rPr>
        <w:t xml:space="preserve"> The revised 2010 ADA Standards for Accessible Design assure that recreation facilities, play areas, fitness centers, and state and local government facilities have a legal obligation to adhere to these accessible design standards.</w:t>
      </w:r>
      <w:r w:rsidRPr="00406F5F">
        <w:rPr>
          <w:rStyle w:val="FootnoteReference"/>
          <w:rFonts w:eastAsia="Times New Roman" w:cs="Arial"/>
          <w:color w:val="000000"/>
          <w:szCs w:val="22"/>
        </w:rPr>
        <w:footnoteReference w:id="43"/>
      </w:r>
    </w:p>
    <w:p w:rsidR="00406F5F" w:rsidRPr="005B1BEB" w:rsidRDefault="00406F5F" w:rsidP="00F9158C">
      <w:pPr>
        <w:pStyle w:val="ListParagraph"/>
        <w:numPr>
          <w:ilvl w:val="0"/>
          <w:numId w:val="87"/>
        </w:numPr>
        <w:rPr>
          <w:rFonts w:cs="Arial"/>
        </w:rPr>
      </w:pPr>
      <w:r w:rsidRPr="005B1BEB">
        <w:rPr>
          <w:rFonts w:cs="Arial"/>
        </w:rPr>
        <w:lastRenderedPageBreak/>
        <w:t>The Association on Intellectual and Developmental Disabilities (AAIDD) presented its first official definition of the term “intellectual disability” (formerly mental retardation) in the 11th edition of its much-awaited Definition Manual written by a committee of 18 international experts in disability.</w:t>
      </w:r>
      <w:r w:rsidRPr="00406F5F">
        <w:rPr>
          <w:rStyle w:val="FootnoteReference"/>
          <w:rFonts w:cs="Arial"/>
          <w:szCs w:val="22"/>
        </w:rPr>
        <w:footnoteReference w:id="44"/>
      </w:r>
    </w:p>
    <w:p w:rsidR="00406F5F" w:rsidRPr="005B1BEB" w:rsidRDefault="00406F5F" w:rsidP="00F9158C">
      <w:pPr>
        <w:pStyle w:val="ListParagraph"/>
        <w:numPr>
          <w:ilvl w:val="0"/>
          <w:numId w:val="87"/>
        </w:numPr>
        <w:rPr>
          <w:rFonts w:cs="Arial"/>
          <w:color w:val="111111"/>
        </w:rPr>
      </w:pPr>
      <w:r w:rsidRPr="005B1BEB">
        <w:rPr>
          <w:rFonts w:cs="Arial"/>
          <w:color w:val="111111"/>
        </w:rPr>
        <w:t xml:space="preserve">The six item set of questions used by the American Community Survey (ACS) and other major federal surveys to characterize functional disability is proposed as the </w:t>
      </w:r>
      <w:r w:rsidRPr="005B1BEB">
        <w:rPr>
          <w:rFonts w:cs="Arial"/>
          <w:i/>
          <w:color w:val="111111"/>
        </w:rPr>
        <w:t>minimum</w:t>
      </w:r>
      <w:r w:rsidRPr="005B1BEB">
        <w:rPr>
          <w:rFonts w:cs="Arial"/>
          <w:color w:val="111111"/>
        </w:rPr>
        <w:t xml:space="preserve"> standard for collecting population survey data on disability. The question set was developed by a federal interagency committee and reflects how disability is conceptualized consistent with the International Classification of Functioning, Disability, and Health. The question set went through several rounds of cognitive testing and has been adopted in most major federal data collection systems.</w:t>
      </w:r>
      <w:r w:rsidRPr="0012175C">
        <w:rPr>
          <w:rStyle w:val="FootnoteReference"/>
          <w:rFonts w:cs="Arial"/>
          <w:color w:val="111111"/>
          <w:szCs w:val="22"/>
        </w:rPr>
        <w:footnoteReference w:id="45"/>
      </w:r>
    </w:p>
    <w:p w:rsidR="00406F5F" w:rsidRPr="005B1BEB" w:rsidRDefault="00406F5F" w:rsidP="00F9158C">
      <w:pPr>
        <w:pStyle w:val="ListParagraph"/>
        <w:numPr>
          <w:ilvl w:val="0"/>
          <w:numId w:val="87"/>
        </w:numPr>
        <w:rPr>
          <w:rFonts w:cs="Arial"/>
        </w:rPr>
      </w:pPr>
      <w:r w:rsidRPr="005B1BEB">
        <w:rPr>
          <w:rFonts w:cs="Arial"/>
        </w:rPr>
        <w:t>On September 23, the House Financial Services Committee held a hearing on the Livable Communities Act that would fund regional planning to make communities more livable and would eliminate barriers to federal agencies working together.</w:t>
      </w:r>
      <w:r w:rsidRPr="0012175C">
        <w:rPr>
          <w:rStyle w:val="FootnoteReference"/>
          <w:rFonts w:cs="Arial"/>
          <w:szCs w:val="22"/>
        </w:rPr>
        <w:footnoteReference w:id="46"/>
      </w:r>
    </w:p>
    <w:p w:rsidR="00406F5F" w:rsidRPr="005B1BEB" w:rsidRDefault="00406F5F" w:rsidP="00F9158C">
      <w:pPr>
        <w:pStyle w:val="ListParagraph"/>
        <w:numPr>
          <w:ilvl w:val="0"/>
          <w:numId w:val="87"/>
        </w:numPr>
        <w:rPr>
          <w:sz w:val="23"/>
          <w:szCs w:val="23"/>
        </w:rPr>
      </w:pPr>
      <w:r w:rsidRPr="005B1BEB">
        <w:rPr>
          <w:rFonts w:cs="Arial"/>
        </w:rPr>
        <w:t>In October, the Administration on Aging (AoA) funded Aging and Disability Resource Center (ADRC) programs in 20 states  to work with AoA and each other in a collaborative process to develop national minimum standards.  These standards guide how Options Counseling (OC) is delivered, who delivers it, under what circumstances, and how outcomes are tracked across the ADRC network.  Through the grant, states will also design, implement and test draft standards for Options Counseling</w:t>
      </w:r>
      <w:r w:rsidRPr="005B1BEB">
        <w:rPr>
          <w:sz w:val="23"/>
          <w:szCs w:val="23"/>
        </w:rPr>
        <w:t>.</w:t>
      </w:r>
      <w:r>
        <w:rPr>
          <w:rStyle w:val="FootnoteReference"/>
          <w:sz w:val="23"/>
          <w:szCs w:val="23"/>
        </w:rPr>
        <w:footnoteReference w:id="47"/>
      </w:r>
    </w:p>
    <w:p w:rsidR="00406F5F" w:rsidRPr="005B1BEB" w:rsidRDefault="00406F5F" w:rsidP="00F9158C">
      <w:pPr>
        <w:pStyle w:val="ListParagraph"/>
        <w:numPr>
          <w:ilvl w:val="0"/>
          <w:numId w:val="87"/>
        </w:numPr>
        <w:rPr>
          <w:sz w:val="23"/>
          <w:szCs w:val="23"/>
        </w:rPr>
      </w:pPr>
      <w:r w:rsidRPr="005B1BEB">
        <w:rPr>
          <w:rFonts w:cs="Arial"/>
        </w:rPr>
        <w:t>Fifty years after President Kennedy assembled a 27-member Panel to prescribe a plan of action in the field of Intellection and Developmental Disabilities (I/DD) report, the Arc</w:t>
      </w:r>
      <w:r w:rsidRPr="00406F5F">
        <w:rPr>
          <w:rStyle w:val="FootnoteReference"/>
          <w:rFonts w:cs="Arial"/>
          <w:szCs w:val="22"/>
        </w:rPr>
        <w:footnoteReference w:id="48"/>
      </w:r>
      <w:r w:rsidRPr="005B1BEB">
        <w:rPr>
          <w:rFonts w:cs="Arial"/>
        </w:rPr>
        <w:t xml:space="preserve"> launched a national online survey of Family and Individual Needs for Disability Supports FINDS) that confirmed the extraordinary progress that has been made from the days of social isolation and segregated institutions.  Today, 98% of people with I/DD report living in the community. However, the survey also indicated that our efforts as a nation have fallen short in education, employment; and providing services and supports for people with I/DD and their families.</w:t>
      </w:r>
      <w:r w:rsidRPr="005B1BEB">
        <w:rPr>
          <w:rStyle w:val="FootnoteReference"/>
          <w:sz w:val="23"/>
          <w:szCs w:val="23"/>
        </w:rPr>
        <w:t xml:space="preserve"> </w:t>
      </w:r>
      <w:r w:rsidRPr="002279AC">
        <w:rPr>
          <w:rStyle w:val="FootnoteReference"/>
          <w:sz w:val="23"/>
          <w:szCs w:val="23"/>
        </w:rPr>
        <w:footnoteReference w:id="49"/>
      </w:r>
    </w:p>
    <w:p w:rsidR="00406F5F" w:rsidRPr="002F02E9" w:rsidRDefault="00406F5F" w:rsidP="00406F5F">
      <w:pPr>
        <w:spacing w:after="120" w:line="240" w:lineRule="auto"/>
        <w:rPr>
          <w:rStyle w:val="Strong"/>
        </w:rPr>
      </w:pPr>
      <w:r w:rsidRPr="002F02E9">
        <w:rPr>
          <w:rStyle w:val="Strong"/>
        </w:rPr>
        <w:t>In 2011:</w:t>
      </w:r>
    </w:p>
    <w:p w:rsidR="00406F5F" w:rsidRPr="00406F5F" w:rsidRDefault="00406F5F" w:rsidP="00F9158C">
      <w:pPr>
        <w:pStyle w:val="ListParagraph"/>
        <w:numPr>
          <w:ilvl w:val="0"/>
          <w:numId w:val="88"/>
        </w:numPr>
      </w:pPr>
      <w:r w:rsidRPr="00406F5F">
        <w:t xml:space="preserve">On January 14, the MMWR (Morbidity and Mortality Weekly Report) focused on the </w:t>
      </w:r>
      <w:r w:rsidRPr="005B1BEB">
        <w:rPr>
          <w:i/>
        </w:rPr>
        <w:t>CDC Health Disparities and Inequalities in the United States—2011</w:t>
      </w:r>
      <w:r w:rsidRPr="00406F5F">
        <w:t>, the first in a periodic series of reports examining disparities in selected social and health indicators.</w:t>
      </w:r>
      <w:r w:rsidRPr="00406F5F">
        <w:rPr>
          <w:rStyle w:val="FootnoteReference"/>
          <w:rFonts w:cs="Arial"/>
          <w:szCs w:val="22"/>
        </w:rPr>
        <w:footnoteReference w:id="50"/>
      </w:r>
    </w:p>
    <w:p w:rsidR="00406F5F" w:rsidRPr="0012175C" w:rsidRDefault="00406F5F" w:rsidP="005B1BEB">
      <w:pPr>
        <w:rPr>
          <w:sz w:val="6"/>
          <w:szCs w:val="6"/>
        </w:rPr>
      </w:pPr>
    </w:p>
    <w:p w:rsidR="00406F5F" w:rsidRPr="005B1BEB" w:rsidRDefault="00406F5F" w:rsidP="00F9158C">
      <w:pPr>
        <w:pStyle w:val="ListParagraph"/>
        <w:numPr>
          <w:ilvl w:val="0"/>
          <w:numId w:val="88"/>
        </w:numPr>
      </w:pPr>
      <w:r w:rsidRPr="00406F5F">
        <w:t xml:space="preserve">On February 10, the </w:t>
      </w:r>
      <w:r w:rsidRPr="005B1BEB">
        <w:rPr>
          <w:i/>
        </w:rPr>
        <w:t>National Center on Birth Defects and Development Disabilities</w:t>
      </w:r>
      <w:r w:rsidRPr="00406F5F">
        <w:t xml:space="preserve"> (NCBDDD) released the 2011—2015 strategic plan to prevent major birth defects attributable to maternal risk factors.</w:t>
      </w:r>
      <w:r w:rsidRPr="00406F5F">
        <w:rPr>
          <w:rStyle w:val="FootnoteReference"/>
          <w:rFonts w:cs="Arial"/>
          <w:szCs w:val="22"/>
        </w:rPr>
        <w:footnoteReference w:id="51"/>
      </w:r>
      <w:r w:rsidRPr="00406F5F">
        <w:t xml:space="preserve"> </w:t>
      </w:r>
    </w:p>
    <w:p w:rsidR="00406F5F" w:rsidRPr="005B1BEB" w:rsidRDefault="00406F5F" w:rsidP="00F9158C">
      <w:pPr>
        <w:pStyle w:val="ListParagraph"/>
        <w:numPr>
          <w:ilvl w:val="0"/>
          <w:numId w:val="88"/>
        </w:numPr>
      </w:pPr>
      <w:r w:rsidRPr="00406F5F">
        <w:t>In April, the NCBDDD celebrated its 10</w:t>
      </w:r>
      <w:r w:rsidRPr="005B1BEB">
        <w:rPr>
          <w:vertAlign w:val="superscript"/>
        </w:rPr>
        <w:t>th</w:t>
      </w:r>
      <w:r w:rsidR="0012175C">
        <w:t xml:space="preserve"> anniversary</w:t>
      </w:r>
      <w:r w:rsidRPr="00406F5F">
        <w:t xml:space="preserve"> with notable achievements, including autism and sickle cell awareness.</w:t>
      </w:r>
      <w:r w:rsidRPr="00406F5F">
        <w:rPr>
          <w:rStyle w:val="FootnoteReference"/>
          <w:rFonts w:cs="Arial"/>
          <w:szCs w:val="22"/>
        </w:rPr>
        <w:footnoteReference w:id="52"/>
      </w:r>
      <w:r w:rsidRPr="00406F5F">
        <w:t xml:space="preserve"> </w:t>
      </w:r>
    </w:p>
    <w:p w:rsidR="00406F5F" w:rsidRPr="005B1BEB" w:rsidRDefault="00406F5F" w:rsidP="00F9158C">
      <w:pPr>
        <w:pStyle w:val="ListParagraph"/>
        <w:numPr>
          <w:ilvl w:val="0"/>
          <w:numId w:val="88"/>
        </w:numPr>
      </w:pPr>
      <w:r w:rsidRPr="00406F5F">
        <w:t xml:space="preserve">On June 29, US Department of Health and Human Services (HHS) Secretary Kathleen Sebelius announced new draft standards for collecting and reporting data on race, ethnicity, sex, primary language and </w:t>
      </w:r>
      <w:r w:rsidRPr="005B1BEB">
        <w:rPr>
          <w:b/>
          <w:i/>
          <w:color w:val="404040" w:themeColor="text1" w:themeTint="BF"/>
        </w:rPr>
        <w:t>disability status</w:t>
      </w:r>
      <w:r w:rsidRPr="00406F5F">
        <w:t xml:space="preserve"> to help federal agencies refine their population health surveys in ways that will help researchers better understand health disparities and zero in on effective strategies for eliminating them.</w:t>
      </w:r>
      <w:r w:rsidRPr="00406F5F">
        <w:rPr>
          <w:rStyle w:val="FootnoteReference"/>
          <w:rFonts w:cs="Arial"/>
          <w:szCs w:val="22"/>
        </w:rPr>
        <w:footnoteReference w:id="53"/>
      </w:r>
    </w:p>
    <w:p w:rsidR="004D441E" w:rsidRPr="005B1BEB" w:rsidRDefault="00406F5F" w:rsidP="00F9158C">
      <w:pPr>
        <w:pStyle w:val="ListParagraph"/>
        <w:numPr>
          <w:ilvl w:val="0"/>
          <w:numId w:val="88"/>
        </w:numPr>
        <w:rPr>
          <w:sz w:val="23"/>
          <w:szCs w:val="23"/>
        </w:rPr>
      </w:pPr>
      <w:r w:rsidRPr="00406F5F">
        <w:t>On September 8, the Centers for Medicare &amp; Medicaid Services (CMS) announced that more seniors and people with disabilities on Medicare are seeing reduced costs for important health care—through 1) discounts on brand-name drugs in the Medicare Part D "donut hole" coverage gap, and 2) free preventive care</w:t>
      </w:r>
      <w:r w:rsidRPr="005B1BEB">
        <w:rPr>
          <w:sz w:val="23"/>
          <w:szCs w:val="23"/>
        </w:rPr>
        <w:t>.</w:t>
      </w:r>
      <w:r w:rsidRPr="002279AC">
        <w:rPr>
          <w:rStyle w:val="FootnoteReference"/>
          <w:sz w:val="23"/>
          <w:szCs w:val="23"/>
        </w:rPr>
        <w:footnoteReference w:id="54"/>
      </w:r>
    </w:p>
    <w:p w:rsidR="0012175C" w:rsidRPr="002F02E9" w:rsidRDefault="0012175C" w:rsidP="0012175C">
      <w:pPr>
        <w:spacing w:after="120" w:line="240" w:lineRule="auto"/>
        <w:rPr>
          <w:rStyle w:val="Strong"/>
        </w:rPr>
      </w:pPr>
      <w:r w:rsidRPr="002F02E9">
        <w:rPr>
          <w:rStyle w:val="Strong"/>
        </w:rPr>
        <w:t>In 2012:</w:t>
      </w:r>
    </w:p>
    <w:p w:rsidR="00406F5F" w:rsidRPr="005B1BEB" w:rsidRDefault="00406F5F" w:rsidP="00F9158C">
      <w:pPr>
        <w:pStyle w:val="ListParagraph"/>
        <w:numPr>
          <w:ilvl w:val="0"/>
          <w:numId w:val="89"/>
        </w:numPr>
      </w:pPr>
      <w:r w:rsidRPr="00406F5F">
        <w:t>In January, the Henry J. Kaiser Family Foundation Published a Women’s Issue Brief entitled Medicaid’s Role for Women across the Lifespan: Current Issues and the Impact of the Affordable Care Act.</w:t>
      </w:r>
      <w:r w:rsidRPr="00406F5F">
        <w:rPr>
          <w:rStyle w:val="FootnoteReference"/>
          <w:rFonts w:cs="Arial"/>
          <w:szCs w:val="22"/>
        </w:rPr>
        <w:footnoteReference w:id="55"/>
      </w:r>
      <w:r w:rsidRPr="00406F5F">
        <w:t xml:space="preserve"> </w:t>
      </w:r>
    </w:p>
    <w:p w:rsidR="00406F5F" w:rsidRPr="005B1BEB" w:rsidRDefault="00406F5F" w:rsidP="00F9158C">
      <w:pPr>
        <w:pStyle w:val="ListParagraph"/>
        <w:numPr>
          <w:ilvl w:val="0"/>
          <w:numId w:val="89"/>
        </w:numPr>
      </w:pPr>
      <w:r w:rsidRPr="00406F5F">
        <w:t>On February 8, the Alaska Health Policy Review published findings of the first Commonwealth Fund Health Insurance Tracking Survey of U.S. adults, indicating that 57% of adults in low-income families were uninsured for some time in the past year, as were 36% of those in moderate-income families.</w:t>
      </w:r>
      <w:r w:rsidRPr="00406F5F">
        <w:rPr>
          <w:rStyle w:val="FootnoteReference"/>
          <w:rFonts w:cs="Arial"/>
          <w:szCs w:val="22"/>
        </w:rPr>
        <w:footnoteReference w:id="56"/>
      </w:r>
    </w:p>
    <w:p w:rsidR="00406F5F" w:rsidRPr="00406F5F" w:rsidRDefault="00406F5F" w:rsidP="00F9158C">
      <w:pPr>
        <w:pStyle w:val="ListParagraph"/>
        <w:numPr>
          <w:ilvl w:val="0"/>
          <w:numId w:val="89"/>
        </w:numPr>
      </w:pPr>
      <w:r w:rsidRPr="00406F5F">
        <w:t>In March, the Aging and Disability Resource Center (ADRC), an initiative of the US Department of Health and Human Services, published criteria to assist states and stakeholders in measuring and assessing state progress toward developing fully functioning single entry point systems for long-term services and supports. Core functions include:</w:t>
      </w:r>
    </w:p>
    <w:p w:rsidR="00406F5F" w:rsidRPr="00406F5F" w:rsidRDefault="00406F5F" w:rsidP="00F9158C">
      <w:pPr>
        <w:pStyle w:val="ListParagraph"/>
        <w:numPr>
          <w:ilvl w:val="1"/>
          <w:numId w:val="89"/>
        </w:numPr>
      </w:pPr>
      <w:r w:rsidRPr="00406F5F">
        <w:t>Information, referral and awareness</w:t>
      </w:r>
    </w:p>
    <w:p w:rsidR="00406F5F" w:rsidRPr="00406F5F" w:rsidRDefault="00406F5F" w:rsidP="00F9158C">
      <w:pPr>
        <w:pStyle w:val="ListParagraph"/>
        <w:numPr>
          <w:ilvl w:val="1"/>
          <w:numId w:val="89"/>
        </w:numPr>
      </w:pPr>
      <w:r w:rsidRPr="00406F5F">
        <w:t>Options counseling</w:t>
      </w:r>
    </w:p>
    <w:p w:rsidR="00406F5F" w:rsidRPr="00406F5F" w:rsidRDefault="00406F5F" w:rsidP="00F9158C">
      <w:pPr>
        <w:pStyle w:val="ListParagraph"/>
        <w:numPr>
          <w:ilvl w:val="1"/>
          <w:numId w:val="89"/>
        </w:numPr>
      </w:pPr>
      <w:r w:rsidRPr="00406F5F">
        <w:t>Streamlined eligibility determination for public programs</w:t>
      </w:r>
    </w:p>
    <w:p w:rsidR="0012175C" w:rsidRPr="005B1BEB" w:rsidRDefault="00406F5F" w:rsidP="00F9158C">
      <w:pPr>
        <w:pStyle w:val="ListParagraph"/>
        <w:numPr>
          <w:ilvl w:val="1"/>
          <w:numId w:val="89"/>
        </w:numPr>
      </w:pPr>
      <w:r w:rsidRPr="00406F5F">
        <w:t>Person-Centered Transition Support</w:t>
      </w:r>
    </w:p>
    <w:p w:rsidR="0012175C" w:rsidRPr="0012175C" w:rsidRDefault="0012175C" w:rsidP="00F9158C">
      <w:pPr>
        <w:pStyle w:val="ListParagraph"/>
        <w:numPr>
          <w:ilvl w:val="0"/>
          <w:numId w:val="89"/>
        </w:numPr>
      </w:pPr>
      <w:r w:rsidRPr="005B1BEB">
        <w:rPr>
          <w:color w:val="333333"/>
        </w:rPr>
        <w:t xml:space="preserve">In April, the Administration for Community Living (ACL) was established, creating a single agency charged with developing policies and improving support for seniors and people with disabilities. ACL collaborates with entities across the Administration to </w:t>
      </w:r>
      <w:r w:rsidRPr="005B1BEB">
        <w:rPr>
          <w:color w:val="333333"/>
        </w:rPr>
        <w:lastRenderedPageBreak/>
        <w:t>promote the goals of the Americans with Disabilities Act: to assure equality of opportunity, full participation, independent living, and economic self-sufficiency for individuals with disabilities.</w:t>
      </w:r>
    </w:p>
    <w:p w:rsidR="0012175C" w:rsidRPr="002F02E9" w:rsidRDefault="00406F5F" w:rsidP="0012175C">
      <w:pPr>
        <w:spacing w:after="80"/>
        <w:ind w:left="360" w:hanging="360"/>
        <w:rPr>
          <w:rStyle w:val="Strong"/>
        </w:rPr>
      </w:pPr>
      <w:r w:rsidRPr="002F02E9">
        <w:rPr>
          <w:rStyle w:val="Strong"/>
        </w:rPr>
        <w:t xml:space="preserve"> In 2013:</w:t>
      </w:r>
    </w:p>
    <w:p w:rsidR="0012175C" w:rsidRDefault="0012175C" w:rsidP="00F9158C">
      <w:pPr>
        <w:pStyle w:val="ListParagraph"/>
        <w:numPr>
          <w:ilvl w:val="0"/>
          <w:numId w:val="90"/>
        </w:numPr>
      </w:pPr>
      <w:r w:rsidRPr="005B1BEB">
        <w:rPr>
          <w:color w:val="404040" w:themeColor="text1" w:themeTint="BF"/>
        </w:rPr>
        <w:t xml:space="preserve">On December 11, </w:t>
      </w:r>
      <w:r w:rsidRPr="0012175C">
        <w:t xml:space="preserve">the American Association of People with Disabilities (AAPD), the nation’s largest disability rights organization, announced the publication of the </w:t>
      </w:r>
      <w:r w:rsidRPr="005B1BEB">
        <w:rPr>
          <w:rStyle w:val="Emphasis"/>
          <w:rFonts w:ascii="Arial" w:hAnsi="Arial" w:cs="Arial"/>
          <w:color w:val="333333"/>
          <w:szCs w:val="22"/>
        </w:rPr>
        <w:t>2013 Compendium on Disability Statistics</w:t>
      </w:r>
      <w:r w:rsidRPr="0012175C">
        <w:t>. The gap in employment for people with disabilities compared to people without disabilities still remains around 40.8 percentage points with 32.7 percent of people with disabilities employed versus 73.6 percent of people without disabilities employed.</w:t>
      </w:r>
      <w:r>
        <w:rPr>
          <w:rStyle w:val="FootnoteReference"/>
          <w:rFonts w:cs="Arial"/>
          <w:color w:val="333333"/>
          <w:szCs w:val="22"/>
        </w:rPr>
        <w:footnoteReference w:id="57"/>
      </w:r>
    </w:p>
    <w:p w:rsidR="0012175C" w:rsidRPr="0012175C" w:rsidRDefault="0012175C" w:rsidP="0012175C">
      <w:pPr>
        <w:pStyle w:val="ListParagraph"/>
        <w:numPr>
          <w:ilvl w:val="0"/>
          <w:numId w:val="0"/>
        </w:numPr>
        <w:spacing w:after="360"/>
        <w:ind w:left="720"/>
        <w:rPr>
          <w:rFonts w:cs="Arial"/>
          <w:color w:val="333333"/>
          <w:sz w:val="12"/>
          <w:szCs w:val="12"/>
        </w:rPr>
      </w:pPr>
    </w:p>
    <w:p w:rsidR="0012175C" w:rsidRPr="002F02E9" w:rsidRDefault="0012175C" w:rsidP="0012175C">
      <w:pPr>
        <w:pStyle w:val="ListParagraph"/>
        <w:numPr>
          <w:ilvl w:val="0"/>
          <w:numId w:val="0"/>
        </w:numPr>
        <w:spacing w:after="120" w:line="240" w:lineRule="auto"/>
        <w:ind w:left="720" w:hanging="720"/>
        <w:rPr>
          <w:rStyle w:val="Strong"/>
        </w:rPr>
      </w:pPr>
      <w:r w:rsidRPr="002F02E9">
        <w:rPr>
          <w:rStyle w:val="Strong"/>
        </w:rPr>
        <w:t>In 2014:</w:t>
      </w:r>
    </w:p>
    <w:p w:rsidR="0012175C" w:rsidRPr="0012175C" w:rsidRDefault="0012175C" w:rsidP="0012175C">
      <w:pPr>
        <w:pStyle w:val="ListParagraph"/>
        <w:numPr>
          <w:ilvl w:val="0"/>
          <w:numId w:val="0"/>
        </w:numPr>
        <w:spacing w:after="120" w:line="240" w:lineRule="auto"/>
        <w:ind w:left="720" w:hanging="720"/>
        <w:rPr>
          <w:rFonts w:ascii="Verdana" w:hAnsi="Verdana"/>
          <w:b/>
          <w:color w:val="4F81BD" w:themeColor="accent1"/>
          <w:sz w:val="8"/>
          <w:szCs w:val="8"/>
        </w:rPr>
      </w:pPr>
    </w:p>
    <w:p w:rsidR="0012175C" w:rsidRPr="005B1BEB" w:rsidRDefault="0012175C" w:rsidP="00F9158C">
      <w:pPr>
        <w:pStyle w:val="ListParagraph"/>
        <w:numPr>
          <w:ilvl w:val="0"/>
          <w:numId w:val="90"/>
        </w:numPr>
        <w:rPr>
          <w:sz w:val="23"/>
          <w:szCs w:val="23"/>
        </w:rPr>
      </w:pPr>
      <w:r w:rsidRPr="0012175C">
        <w:t>On May 29, the American Association of People with Disabilities (AAPD) and the US Business Leadership Network® (USBLN®) announced the public release of the first Annual Disability Equality Index</w:t>
      </w:r>
      <w:r w:rsidRPr="005B1BEB">
        <w:rPr>
          <w:vertAlign w:val="superscript"/>
        </w:rPr>
        <w:t>SM</w:t>
      </w:r>
      <w:r w:rsidRPr="0012175C">
        <w:t xml:space="preserve"> (DEI</w:t>
      </w:r>
      <w:r w:rsidRPr="005B1BEB">
        <w:rPr>
          <w:vertAlign w:val="superscript"/>
        </w:rPr>
        <w:t>SM</w:t>
      </w:r>
      <w:r w:rsidRPr="0012175C">
        <w:t>). Created by leaders in the business and disability communities, the DEI is an online benchmarking tool that offers businesses the opportunity to receive an objective score, on a scale of zero to 100, on their disability inclusion policies and practices.</w:t>
      </w:r>
      <w:r w:rsidRPr="0012175C">
        <w:rPr>
          <w:rStyle w:val="FootnoteReference"/>
          <w:rFonts w:cs="Arial"/>
          <w:color w:val="333333"/>
          <w:szCs w:val="22"/>
        </w:rPr>
        <w:footnoteReference w:id="58"/>
      </w:r>
    </w:p>
    <w:p w:rsidR="004D441E" w:rsidRPr="00484489" w:rsidRDefault="0012175C" w:rsidP="00F9158C">
      <w:pPr>
        <w:pStyle w:val="ListParagraph"/>
        <w:numPr>
          <w:ilvl w:val="0"/>
          <w:numId w:val="90"/>
        </w:numPr>
      </w:pPr>
      <w:r w:rsidRPr="005B1BEB">
        <w:rPr>
          <w:color w:val="000000"/>
        </w:rPr>
        <w:t>The 7</w:t>
      </w:r>
      <w:r w:rsidRPr="005B1BEB">
        <w:rPr>
          <w:color w:val="000000"/>
          <w:vertAlign w:val="superscript"/>
        </w:rPr>
        <w:t>th</w:t>
      </w:r>
      <w:r w:rsidRPr="005B1BEB">
        <w:rPr>
          <w:color w:val="000000"/>
        </w:rPr>
        <w:t xml:space="preserve"> Session of the United Nations Convention on the Rights of Persons with Disabilities took place at United Nations Headquarters in June of 2014. The thematic discussions for this session were: Incorporating the CRPD provisions into the post-2015 development</w:t>
      </w:r>
      <w:r w:rsidR="00AD02EE" w:rsidRPr="005B1BEB">
        <w:rPr>
          <w:color w:val="000000"/>
        </w:rPr>
        <w:t xml:space="preserve"> agenda:</w:t>
      </w:r>
      <w:r w:rsidRPr="005B1BEB">
        <w:rPr>
          <w:color w:val="000000"/>
        </w:rPr>
        <w:t xml:space="preserve"> 1) Youth with disabilities; and 2) National implementation and monitoring.</w:t>
      </w:r>
      <w:r>
        <w:rPr>
          <w:rStyle w:val="FootnoteReference"/>
          <w:rFonts w:cs="Arial"/>
          <w:color w:val="000000"/>
          <w:szCs w:val="22"/>
        </w:rPr>
        <w:footnoteReference w:id="59"/>
      </w:r>
    </w:p>
    <w:p w:rsidR="004D441E" w:rsidRPr="004D441E" w:rsidRDefault="004D441E" w:rsidP="00F9158C">
      <w:pPr>
        <w:pStyle w:val="ListParagraph"/>
        <w:numPr>
          <w:ilvl w:val="0"/>
          <w:numId w:val="90"/>
        </w:numPr>
      </w:pPr>
      <w:r w:rsidRPr="004D441E">
        <w:t xml:space="preserve">In preparation for the anniversary of the Americans with Disabilities Act (ADA) in July, the U.S. Census Bureau released its collection of the </w:t>
      </w:r>
      <w:r>
        <w:t>most recent data pe</w:t>
      </w:r>
      <w:r w:rsidRPr="004D441E">
        <w:t xml:space="preserve">rtaining to Americans with disabilities. The numbers are striking. Approximately </w:t>
      </w:r>
      <w:r w:rsidRPr="005B1BEB">
        <w:rPr>
          <w:b/>
          <w:bCs/>
          <w:i/>
          <w:iCs/>
        </w:rPr>
        <w:t>57 million</w:t>
      </w:r>
      <w:r w:rsidRPr="004D441E">
        <w:t xml:space="preserve"> Americans have a disability. Since this figure may be difficult to comprehend, let’s take a look at some facts for comparison: There are more people with disabilities living in America than the entire population of Canada or the Caribbean. The number of Americans with vision impairments is comparable to the entire population of Switzerland, and there are more Americans with hearing impairments than in all of Denmark, Paraguay or Hong Kong. If you take the population of Ireland and cut it in half, that’s roughly the number of Americans living with Alzheimer’s or other neuro</w:t>
      </w:r>
      <w:r w:rsidR="00335E89">
        <w:t>-</w:t>
      </w:r>
      <w:r w:rsidRPr="004D441E">
        <w:t>cognitive disorders. Additionally, more Americans with disabilities require the assistance of others to perform basic activities of daily living than the entire population of Greece.</w:t>
      </w:r>
      <w:r>
        <w:rPr>
          <w:rStyle w:val="FootnoteReference"/>
          <w:rFonts w:cs="Arial"/>
          <w:szCs w:val="22"/>
        </w:rPr>
        <w:footnoteReference w:id="60"/>
      </w:r>
      <w:r w:rsidRPr="004D441E">
        <w:t> </w:t>
      </w:r>
    </w:p>
    <w:p w:rsidR="00AD02EE" w:rsidRPr="002D61E5" w:rsidRDefault="000F5C61" w:rsidP="002D61E5">
      <w:pPr>
        <w:rPr>
          <w:rFonts w:cstheme="minorHAnsi"/>
          <w:sz w:val="24"/>
          <w:szCs w:val="24"/>
        </w:rPr>
      </w:pPr>
      <w:r>
        <w:br w:type="page"/>
      </w:r>
    </w:p>
    <w:p w:rsidR="002D61E5" w:rsidRDefault="002D61E5" w:rsidP="002D61E5">
      <w:pPr>
        <w:pStyle w:val="Heading2"/>
      </w:pPr>
      <w:bookmarkStart w:id="34" w:name="_Toc403370689"/>
      <w:r>
        <w:lastRenderedPageBreak/>
        <w:t>Vision, Mission, Goal, and Strategies</w:t>
      </w:r>
      <w:bookmarkEnd w:id="34"/>
    </w:p>
    <w:p w:rsidR="000F5C61" w:rsidRPr="000F5C61" w:rsidRDefault="000F5C61" w:rsidP="002D61E5">
      <w:r w:rsidRPr="000F5C61">
        <w:t xml:space="preserve">The Montana Disability and Health (MTDH) Program Advisory Board envisions a state where </w:t>
      </w:r>
      <w:r w:rsidRPr="000F5C61">
        <w:rPr>
          <w:i/>
        </w:rPr>
        <w:t>all</w:t>
      </w:r>
      <w:r w:rsidRPr="000F5C61">
        <w:t xml:space="preserve"> people with disabilities are healthy in body, mind and spirit and have equal opportunities to participate in their communities —a place where people with disabilities go where they want to go, do what they want to do, have their individual needs met, and are treated with respect.</w:t>
      </w:r>
      <w:r w:rsidRPr="000F5C61">
        <w:rPr>
          <w:rStyle w:val="FootnoteReference"/>
          <w:rFonts w:cs="Arial"/>
        </w:rPr>
        <w:footnoteReference w:id="61"/>
      </w:r>
      <w:r w:rsidRPr="000F5C61">
        <w:t xml:space="preserve">  This vision for Montana includes:</w:t>
      </w:r>
    </w:p>
    <w:p w:rsidR="000F5C61" w:rsidRPr="000F5C61" w:rsidRDefault="000F5C61" w:rsidP="002D61E5">
      <w:pPr>
        <w:pStyle w:val="ListParagraph"/>
      </w:pPr>
      <w:r w:rsidRPr="000F5C61">
        <w:t xml:space="preserve">A commitment to people with disabilities (PWD) across the entire life span. </w:t>
      </w:r>
    </w:p>
    <w:p w:rsidR="000F5C61" w:rsidRPr="000F5C61" w:rsidRDefault="000F5C61" w:rsidP="002D61E5">
      <w:pPr>
        <w:pStyle w:val="ListParagraph"/>
      </w:pPr>
      <w:r w:rsidRPr="000F5C61">
        <w:t>Advocating for successful life transitions for PWD through education as well as policy and systems change.</w:t>
      </w:r>
    </w:p>
    <w:p w:rsidR="000F5C61" w:rsidRPr="000F5C61" w:rsidRDefault="000F5C61" w:rsidP="002D61E5">
      <w:pPr>
        <w:pStyle w:val="ListParagraph"/>
      </w:pPr>
      <w:r w:rsidRPr="000F5C61">
        <w:t xml:space="preserve">An increased awareness that preventing secondary health conditions (such as pain, depression, obesity, oral health problems, diabetes, and injuries such as pressure sores) is an important component of quality of life for people with disabilities in Montana. </w:t>
      </w:r>
    </w:p>
    <w:p w:rsidR="000F5C61" w:rsidRPr="000F5C61" w:rsidRDefault="000F5C61" w:rsidP="002D61E5">
      <w:pPr>
        <w:pStyle w:val="ListParagraph"/>
      </w:pPr>
      <w:r w:rsidRPr="000F5C61">
        <w:t xml:space="preserve">Strong alliances among people with disabilities, the MTDH Program and other agencies and organizations. </w:t>
      </w:r>
    </w:p>
    <w:p w:rsidR="000F5C61" w:rsidRPr="000F5C61" w:rsidRDefault="000F5C61" w:rsidP="002D61E5">
      <w:pPr>
        <w:pStyle w:val="ListParagraph"/>
      </w:pPr>
      <w:r w:rsidRPr="000F5C61">
        <w:t xml:space="preserve">No health care disparities. </w:t>
      </w:r>
    </w:p>
    <w:p w:rsidR="000F5C61" w:rsidRPr="000F5C61" w:rsidRDefault="000F5C61" w:rsidP="002D61E5">
      <w:pPr>
        <w:pStyle w:val="ListParagraph"/>
      </w:pPr>
      <w:r w:rsidRPr="000F5C61">
        <w:t xml:space="preserve">Resources and efforts to promote healthy lifestyles. </w:t>
      </w:r>
    </w:p>
    <w:p w:rsidR="00915DBF" w:rsidRPr="00915DBF" w:rsidRDefault="000F5C61" w:rsidP="002D61E5">
      <w:pPr>
        <w:pStyle w:val="ListParagraph"/>
        <w:rPr>
          <w:rFonts w:ascii="Verdana" w:hAnsi="Verdana"/>
          <w:b/>
          <w:bCs/>
          <w:i/>
          <w:color w:val="4F81BD" w:themeColor="accent1"/>
          <w:sz w:val="26"/>
          <w:szCs w:val="26"/>
        </w:rPr>
      </w:pPr>
      <w:r w:rsidRPr="00915DBF">
        <w:t xml:space="preserve">Integration of people with disabilities in all physical, social and economic aspects of Montana. Public awareness of success stories about people with disabilities living healthy lives. </w:t>
      </w:r>
    </w:p>
    <w:p w:rsidR="000F5C61" w:rsidRPr="004C29B2" w:rsidRDefault="000F5C61" w:rsidP="004C29B2">
      <w:pPr>
        <w:rPr>
          <w:rStyle w:val="Strong"/>
        </w:rPr>
      </w:pPr>
      <w:r w:rsidRPr="004C29B2">
        <w:rPr>
          <w:rStyle w:val="Strong"/>
        </w:rPr>
        <w:t>Mission</w:t>
      </w:r>
    </w:p>
    <w:p w:rsidR="000F5C61" w:rsidRPr="000F5C61" w:rsidRDefault="000F5C61" w:rsidP="002D61E5">
      <w:r w:rsidRPr="000F5C61">
        <w:t xml:space="preserve">The mission of the Montana Disability and Health Program is to reduce secondary conditions, eliminate health disparities, and improve the health of people with disabilities across the entire life span. </w:t>
      </w:r>
    </w:p>
    <w:p w:rsidR="000F5C61" w:rsidRPr="004C29B2" w:rsidRDefault="000F5C61" w:rsidP="004C29B2">
      <w:pPr>
        <w:rPr>
          <w:rStyle w:val="Strong"/>
        </w:rPr>
      </w:pPr>
      <w:r w:rsidRPr="004C29B2">
        <w:rPr>
          <w:rStyle w:val="Strong"/>
        </w:rPr>
        <w:t xml:space="preserve">Long-Term Outcome Goal </w:t>
      </w:r>
    </w:p>
    <w:p w:rsidR="000F5C61" w:rsidRPr="000F5C61" w:rsidRDefault="000F5C61" w:rsidP="002D61E5">
      <w:pPr>
        <w:rPr>
          <w:rFonts w:eastAsia="Times New Roman"/>
        </w:rPr>
      </w:pPr>
      <w:r w:rsidRPr="000F5C61">
        <w:rPr>
          <w:rFonts w:eastAsia="Times New Roman"/>
        </w:rPr>
        <w:t xml:space="preserve">Reduce/eliminate health disparities experienced by populations with disabilities in Montana and promote/maximize health, prevent chronic disease, improve emergency preparedness and increase the quality of life among Montanans with disabilities in across the life course. </w:t>
      </w:r>
    </w:p>
    <w:p w:rsidR="000F5C61" w:rsidRPr="004C29B2" w:rsidRDefault="000F5C61" w:rsidP="004C29B2">
      <w:pPr>
        <w:rPr>
          <w:rStyle w:val="Strong"/>
        </w:rPr>
      </w:pPr>
      <w:r w:rsidRPr="004C29B2">
        <w:rPr>
          <w:rStyle w:val="Strong"/>
        </w:rPr>
        <w:t xml:space="preserve">Strategies </w:t>
      </w:r>
    </w:p>
    <w:p w:rsidR="000F5C61" w:rsidRPr="000F5C61" w:rsidRDefault="000F5C61" w:rsidP="002D61E5">
      <w:r w:rsidRPr="000F5C61">
        <w:t xml:space="preserve">The MTDH will achieve this goal via the following five strategies: </w:t>
      </w:r>
    </w:p>
    <w:p w:rsidR="00915DBF" w:rsidRDefault="000F5C61" w:rsidP="00F9158C">
      <w:pPr>
        <w:pStyle w:val="ListParagraph"/>
        <w:numPr>
          <w:ilvl w:val="0"/>
          <w:numId w:val="42"/>
        </w:numPr>
      </w:pPr>
      <w:r w:rsidRPr="00915DBF">
        <w:t>Build capacity of the MTDH program and partnerships,</w:t>
      </w:r>
    </w:p>
    <w:p w:rsidR="000F5C61" w:rsidRPr="00915DBF" w:rsidRDefault="000F5C61" w:rsidP="00F9158C">
      <w:pPr>
        <w:pStyle w:val="ListParagraph"/>
        <w:numPr>
          <w:ilvl w:val="0"/>
          <w:numId w:val="42"/>
        </w:numPr>
      </w:pPr>
      <w:r w:rsidRPr="00915DBF">
        <w:lastRenderedPageBreak/>
        <w:t>Support direct health promotion services and programs that meet the specific health promotion needs of people with disabilities,</w:t>
      </w:r>
    </w:p>
    <w:p w:rsidR="000F5C61" w:rsidRPr="000F5C61" w:rsidRDefault="000F5C61" w:rsidP="00F9158C">
      <w:pPr>
        <w:pStyle w:val="ListParagraph"/>
        <w:numPr>
          <w:ilvl w:val="0"/>
          <w:numId w:val="42"/>
        </w:numPr>
      </w:pPr>
      <w:r w:rsidRPr="000F5C61">
        <w:t>Increase access to generic health promotion services, ensuring civil rights of PWD,</w:t>
      </w:r>
    </w:p>
    <w:p w:rsidR="000F5C61" w:rsidRPr="000F5C61" w:rsidRDefault="000F5C61" w:rsidP="00F9158C">
      <w:pPr>
        <w:pStyle w:val="ListParagraph"/>
        <w:numPr>
          <w:ilvl w:val="0"/>
          <w:numId w:val="42"/>
        </w:numPr>
      </w:pPr>
      <w:r w:rsidRPr="000F5C61">
        <w:t>Improve access to community environments, ensuring civil rights of PWD; and improve community planning to optimize resilience of PWP (e.g. emergency preparedness), and</w:t>
      </w:r>
    </w:p>
    <w:p w:rsidR="000F5C61" w:rsidRPr="000F5C61" w:rsidRDefault="000F5C61" w:rsidP="00F9158C">
      <w:pPr>
        <w:pStyle w:val="ListParagraph"/>
        <w:numPr>
          <w:ilvl w:val="0"/>
          <w:numId w:val="42"/>
        </w:numPr>
      </w:pPr>
      <w:r w:rsidRPr="000F5C61">
        <w:t>Integrate disability and health agenda into public policies that influence the health of PWD.</w:t>
      </w:r>
    </w:p>
    <w:p w:rsidR="000B4EC0" w:rsidRPr="007747B0" w:rsidRDefault="000F5C61" w:rsidP="007747B0">
      <w:r w:rsidRPr="000F5C61">
        <w:t xml:space="preserve">The vision, mission, long-term outcome goal, and strategies are based on the history and forward momentum of the national disability and health movement as well as the recognized expertise of the </w:t>
      </w:r>
      <w:r w:rsidRPr="000F5C61">
        <w:rPr>
          <w:i/>
        </w:rPr>
        <w:t>University of Montana Rural Institute</w:t>
      </w:r>
      <w:r w:rsidRPr="000F5C61">
        <w:t xml:space="preserve"> (UMRI) to provide leadership for this effort. </w:t>
      </w:r>
    </w:p>
    <w:p w:rsidR="006F3A57" w:rsidRPr="006F3A57" w:rsidRDefault="006F3A57" w:rsidP="006F3A57">
      <w:pPr>
        <w:pStyle w:val="Heading2"/>
      </w:pPr>
      <w:bookmarkStart w:id="35" w:name="_Toc403370690"/>
      <w:r>
        <w:t>Primary Partners</w:t>
      </w:r>
      <w:bookmarkEnd w:id="35"/>
    </w:p>
    <w:p w:rsidR="004E7639" w:rsidRDefault="004E7639" w:rsidP="006F3A57">
      <w:pPr>
        <w:rPr>
          <w:rFonts w:eastAsia="Times New Roman"/>
        </w:rPr>
      </w:pPr>
      <w:r w:rsidRPr="004E7639">
        <w:rPr>
          <w:rFonts w:eastAsia="Times New Roman"/>
        </w:rPr>
        <w:t xml:space="preserve">The </w:t>
      </w:r>
      <w:r w:rsidRPr="006F3A57">
        <w:rPr>
          <w:rStyle w:val="Strong"/>
        </w:rPr>
        <w:t>MTDH Program</w:t>
      </w:r>
      <w:r w:rsidRPr="004E7639">
        <w:rPr>
          <w:rFonts w:eastAsia="Times New Roman"/>
        </w:rPr>
        <w:t xml:space="preserve"> is the result of a cooperative agreement between:</w:t>
      </w:r>
    </w:p>
    <w:p w:rsidR="004E7639" w:rsidRPr="006F3A57" w:rsidRDefault="004E7639" w:rsidP="00F9158C">
      <w:pPr>
        <w:pStyle w:val="ListParagraph"/>
        <w:numPr>
          <w:ilvl w:val="0"/>
          <w:numId w:val="43"/>
        </w:numPr>
        <w:rPr>
          <w:rFonts w:eastAsia="Times New Roman"/>
          <w:szCs w:val="22"/>
        </w:rPr>
      </w:pPr>
      <w:r w:rsidRPr="006F3A57">
        <w:rPr>
          <w:rFonts w:eastAsia="Times New Roman"/>
        </w:rPr>
        <w:t>The Centers for Disease Co</w:t>
      </w:r>
      <w:r w:rsidR="006F3A57" w:rsidRPr="006F3A57">
        <w:rPr>
          <w:rFonts w:eastAsia="Times New Roman"/>
        </w:rPr>
        <w:t>ntrol and Prevention (CDC); and</w:t>
      </w:r>
    </w:p>
    <w:p w:rsidR="004E7639" w:rsidRPr="006F3A57" w:rsidRDefault="004E7639" w:rsidP="00F9158C">
      <w:pPr>
        <w:pStyle w:val="ListParagraph"/>
        <w:numPr>
          <w:ilvl w:val="0"/>
          <w:numId w:val="43"/>
        </w:numPr>
        <w:rPr>
          <w:rFonts w:eastAsia="Times New Roman"/>
        </w:rPr>
      </w:pPr>
      <w:r w:rsidRPr="006F3A57">
        <w:rPr>
          <w:rFonts w:eastAsia="Times New Roman"/>
        </w:rPr>
        <w:t>The Chronic Disease Prevention and Health Promotion Bureau</w:t>
      </w:r>
      <w:r w:rsidRPr="006F3A57">
        <w:rPr>
          <w:rFonts w:eastAsia="Times New Roman"/>
          <w:i/>
        </w:rPr>
        <w:t xml:space="preserve"> </w:t>
      </w:r>
      <w:r w:rsidRPr="006F3A57">
        <w:rPr>
          <w:rFonts w:eastAsia="Times New Roman"/>
        </w:rPr>
        <w:t>(CDHPB) of the Montana Department of Public Health and Human Services (MDPHHS)</w:t>
      </w:r>
      <w:r w:rsidRPr="006F3A57">
        <w:rPr>
          <w:rFonts w:eastAsia="Times New Roman"/>
          <w:i/>
        </w:rPr>
        <w:t xml:space="preserve"> </w:t>
      </w:r>
      <w:r w:rsidRPr="006F3A57">
        <w:rPr>
          <w:rFonts w:eastAsia="Times New Roman"/>
        </w:rPr>
        <w:t>in partnership with the University of Montana Rural Institute (UMRI): Center for Excellence in Disability Ed</w:t>
      </w:r>
      <w:r w:rsidR="006F3A57" w:rsidRPr="006F3A57">
        <w:rPr>
          <w:rFonts w:eastAsia="Times New Roman"/>
        </w:rPr>
        <w:t>ucation, Research, and Service.</w:t>
      </w:r>
    </w:p>
    <w:p w:rsidR="004E7639" w:rsidRPr="004E7639" w:rsidRDefault="004E7639" w:rsidP="006F3A57">
      <w:pPr>
        <w:rPr>
          <w:rFonts w:eastAsia="Times New Roman"/>
        </w:rPr>
      </w:pPr>
      <w:r w:rsidRPr="004E7639">
        <w:rPr>
          <w:rFonts w:eastAsia="Times New Roman"/>
        </w:rPr>
        <w:t>Four major divisions of MTDPHHS have partnered with the MTDH Program to attain the long term outcome goals for this strategic plan.</w:t>
      </w:r>
    </w:p>
    <w:p w:rsidR="004E7639" w:rsidRPr="006F3A57" w:rsidRDefault="004E7639" w:rsidP="0030220A">
      <w:pPr>
        <w:spacing w:after="120" w:line="240" w:lineRule="auto"/>
        <w:ind w:left="720" w:hanging="360"/>
        <w:rPr>
          <w:rStyle w:val="Strong"/>
        </w:rPr>
      </w:pPr>
      <w:r w:rsidRPr="006F3A57">
        <w:rPr>
          <w:rStyle w:val="Strong"/>
        </w:rPr>
        <w:t>A.   Public Health and Safety Division</w:t>
      </w:r>
    </w:p>
    <w:p w:rsidR="004E7639" w:rsidRPr="005B1BEB" w:rsidRDefault="004E7639" w:rsidP="00F9158C">
      <w:pPr>
        <w:pStyle w:val="ListParagraph"/>
        <w:numPr>
          <w:ilvl w:val="0"/>
          <w:numId w:val="91"/>
        </w:numPr>
        <w:rPr>
          <w:rFonts w:eastAsia="Times New Roman"/>
        </w:rPr>
      </w:pPr>
      <w:r w:rsidRPr="005B1BEB">
        <w:rPr>
          <w:rFonts w:eastAsia="Times New Roman"/>
        </w:rPr>
        <w:t>The Financial Operations and Support Services Bureau houses budget functions, operations support, public health informatics, and vital statistics.</w:t>
      </w:r>
    </w:p>
    <w:p w:rsidR="004E7639" w:rsidRPr="005B1BEB" w:rsidRDefault="004E7639" w:rsidP="00F9158C">
      <w:pPr>
        <w:pStyle w:val="ListParagraph"/>
        <w:numPr>
          <w:ilvl w:val="0"/>
          <w:numId w:val="91"/>
        </w:numPr>
        <w:rPr>
          <w:rFonts w:eastAsia="Times New Roman"/>
        </w:rPr>
      </w:pPr>
      <w:r w:rsidRPr="005B1BEB">
        <w:rPr>
          <w:rFonts w:eastAsia="Times New Roman"/>
        </w:rPr>
        <w:t xml:space="preserve">The Chronic Disease Prevention and Health Promotion Bureau includes: </w:t>
      </w:r>
    </w:p>
    <w:p w:rsidR="004E7639" w:rsidRPr="005B1BEB" w:rsidRDefault="004E7639" w:rsidP="00F9158C">
      <w:pPr>
        <w:pStyle w:val="ListParagraph"/>
        <w:numPr>
          <w:ilvl w:val="1"/>
          <w:numId w:val="91"/>
        </w:numPr>
        <w:rPr>
          <w:rFonts w:eastAsia="Times New Roman"/>
        </w:rPr>
      </w:pPr>
      <w:r w:rsidRPr="005B1BEB">
        <w:rPr>
          <w:rFonts w:eastAsia="Times New Roman"/>
        </w:rPr>
        <w:t>The Cardiovascular Health, Diabetes, and Nutrition and Physical Activity (NAPA) Section</w:t>
      </w:r>
    </w:p>
    <w:p w:rsidR="004E7639" w:rsidRPr="005B1BEB" w:rsidRDefault="004E7639" w:rsidP="00F9158C">
      <w:pPr>
        <w:pStyle w:val="ListParagraph"/>
        <w:numPr>
          <w:ilvl w:val="1"/>
          <w:numId w:val="91"/>
        </w:numPr>
        <w:rPr>
          <w:rFonts w:eastAsia="Times New Roman"/>
        </w:rPr>
      </w:pPr>
      <w:r w:rsidRPr="005B1BEB">
        <w:rPr>
          <w:rFonts w:eastAsia="Times New Roman"/>
        </w:rPr>
        <w:t xml:space="preserve">The Cancer Control Section, </w:t>
      </w:r>
    </w:p>
    <w:p w:rsidR="004E7639" w:rsidRPr="005B1BEB" w:rsidRDefault="004E7639" w:rsidP="00F9158C">
      <w:pPr>
        <w:pStyle w:val="ListParagraph"/>
        <w:numPr>
          <w:ilvl w:val="1"/>
          <w:numId w:val="91"/>
        </w:numPr>
        <w:rPr>
          <w:rFonts w:eastAsia="Times New Roman"/>
        </w:rPr>
      </w:pPr>
      <w:r w:rsidRPr="005B1BEB">
        <w:rPr>
          <w:rFonts w:eastAsia="Times New Roman"/>
        </w:rPr>
        <w:t xml:space="preserve">The Emergency Medical Services and Trauma Systems Section, and </w:t>
      </w:r>
    </w:p>
    <w:p w:rsidR="004E7639" w:rsidRPr="005B1BEB" w:rsidRDefault="004E7639" w:rsidP="00F9158C">
      <w:pPr>
        <w:pStyle w:val="ListParagraph"/>
        <w:numPr>
          <w:ilvl w:val="1"/>
          <w:numId w:val="91"/>
        </w:numPr>
        <w:rPr>
          <w:rFonts w:eastAsia="Times New Roman"/>
        </w:rPr>
      </w:pPr>
      <w:r w:rsidRPr="005B1BEB">
        <w:rPr>
          <w:rFonts w:eastAsia="Times New Roman"/>
        </w:rPr>
        <w:t xml:space="preserve">The Tobacco Use Prevention Section. </w:t>
      </w:r>
    </w:p>
    <w:p w:rsidR="004E7639" w:rsidRPr="005B1BEB" w:rsidRDefault="004E7639" w:rsidP="00F9158C">
      <w:pPr>
        <w:pStyle w:val="ListParagraph"/>
        <w:numPr>
          <w:ilvl w:val="0"/>
          <w:numId w:val="91"/>
        </w:numPr>
        <w:rPr>
          <w:rFonts w:eastAsia="Times New Roman"/>
        </w:rPr>
      </w:pPr>
      <w:r w:rsidRPr="005B1BEB">
        <w:rPr>
          <w:rFonts w:eastAsia="Times New Roman"/>
        </w:rPr>
        <w:t>The Family and Community Health Bureau includes:</w:t>
      </w:r>
    </w:p>
    <w:p w:rsidR="004E7639" w:rsidRPr="005B1BEB" w:rsidRDefault="004E7639" w:rsidP="00F9158C">
      <w:pPr>
        <w:pStyle w:val="ListParagraph"/>
        <w:numPr>
          <w:ilvl w:val="1"/>
          <w:numId w:val="91"/>
        </w:numPr>
        <w:rPr>
          <w:rFonts w:eastAsia="Times New Roman"/>
        </w:rPr>
      </w:pPr>
      <w:r w:rsidRPr="005B1BEB">
        <w:rPr>
          <w:rFonts w:eastAsia="Times New Roman"/>
        </w:rPr>
        <w:t>Children’s Special Health Services Section</w:t>
      </w:r>
    </w:p>
    <w:p w:rsidR="004E7639" w:rsidRPr="005B1BEB" w:rsidRDefault="004E7639" w:rsidP="00F9158C">
      <w:pPr>
        <w:pStyle w:val="ListParagraph"/>
        <w:numPr>
          <w:ilvl w:val="1"/>
          <w:numId w:val="91"/>
        </w:numPr>
        <w:rPr>
          <w:rFonts w:eastAsia="Times New Roman"/>
        </w:rPr>
      </w:pPr>
      <w:r w:rsidRPr="005B1BEB">
        <w:rPr>
          <w:rFonts w:eastAsia="Times New Roman"/>
        </w:rPr>
        <w:t>Maternal, Infant and Child Health Section</w:t>
      </w:r>
    </w:p>
    <w:p w:rsidR="004E7639" w:rsidRPr="005B1BEB" w:rsidRDefault="004E7639" w:rsidP="00F9158C">
      <w:pPr>
        <w:pStyle w:val="ListParagraph"/>
        <w:numPr>
          <w:ilvl w:val="1"/>
          <w:numId w:val="91"/>
        </w:numPr>
        <w:rPr>
          <w:rFonts w:eastAsia="Times New Roman"/>
        </w:rPr>
      </w:pPr>
      <w:r w:rsidRPr="005B1BEB">
        <w:rPr>
          <w:rFonts w:eastAsia="Times New Roman"/>
        </w:rPr>
        <w:t>WIC (Women, Infants and Children) Section</w:t>
      </w:r>
    </w:p>
    <w:p w:rsidR="004E7639" w:rsidRPr="005B1BEB" w:rsidRDefault="004E7639" w:rsidP="00F9158C">
      <w:pPr>
        <w:pStyle w:val="ListParagraph"/>
        <w:numPr>
          <w:ilvl w:val="1"/>
          <w:numId w:val="91"/>
        </w:numPr>
        <w:rPr>
          <w:rFonts w:eastAsia="Times New Roman"/>
        </w:rPr>
      </w:pPr>
      <w:r w:rsidRPr="005B1BEB">
        <w:rPr>
          <w:rFonts w:eastAsia="Times New Roman"/>
        </w:rPr>
        <w:t>Women’s and Men’s Health, including Family Planning Section</w:t>
      </w:r>
    </w:p>
    <w:p w:rsidR="00AE6760" w:rsidRPr="005B1BEB" w:rsidRDefault="004E7639" w:rsidP="00F9158C">
      <w:pPr>
        <w:pStyle w:val="ListParagraph"/>
        <w:numPr>
          <w:ilvl w:val="1"/>
          <w:numId w:val="91"/>
        </w:numPr>
        <w:rPr>
          <w:rFonts w:eastAsia="Times New Roman"/>
        </w:rPr>
      </w:pPr>
      <w:r w:rsidRPr="005B1BEB">
        <w:rPr>
          <w:rFonts w:eastAsia="Times New Roman"/>
        </w:rPr>
        <w:t>Primary Care Office</w:t>
      </w:r>
    </w:p>
    <w:p w:rsidR="004E7639" w:rsidRPr="005B1BEB" w:rsidRDefault="004E7639" w:rsidP="00F9158C">
      <w:pPr>
        <w:pStyle w:val="ListParagraph"/>
        <w:numPr>
          <w:ilvl w:val="0"/>
          <w:numId w:val="91"/>
        </w:numPr>
        <w:rPr>
          <w:rFonts w:eastAsia="Times New Roman"/>
          <w:u w:val="single"/>
        </w:rPr>
      </w:pPr>
      <w:r w:rsidRPr="005B1BEB">
        <w:rPr>
          <w:rFonts w:eastAsia="Times New Roman"/>
        </w:rPr>
        <w:t>The Laboratory Services Bureau includes:</w:t>
      </w:r>
    </w:p>
    <w:p w:rsidR="004E7639" w:rsidRPr="005B1BEB" w:rsidRDefault="004E7639" w:rsidP="00F9158C">
      <w:pPr>
        <w:pStyle w:val="ListParagraph"/>
        <w:numPr>
          <w:ilvl w:val="1"/>
          <w:numId w:val="91"/>
        </w:numPr>
        <w:rPr>
          <w:rFonts w:eastAsia="Times New Roman"/>
          <w:u w:val="single"/>
        </w:rPr>
      </w:pPr>
      <w:r w:rsidRPr="005B1BEB">
        <w:rPr>
          <w:rFonts w:eastAsia="Times New Roman"/>
        </w:rPr>
        <w:t>The Clinical Public Health Laboratory</w:t>
      </w:r>
    </w:p>
    <w:p w:rsidR="004E7639" w:rsidRPr="005B1BEB" w:rsidRDefault="004E7639" w:rsidP="00F9158C">
      <w:pPr>
        <w:pStyle w:val="ListParagraph"/>
        <w:numPr>
          <w:ilvl w:val="1"/>
          <w:numId w:val="91"/>
        </w:numPr>
        <w:rPr>
          <w:rFonts w:eastAsia="Times New Roman"/>
          <w:u w:val="single"/>
        </w:rPr>
      </w:pPr>
      <w:r w:rsidRPr="005B1BEB">
        <w:rPr>
          <w:rFonts w:eastAsia="Times New Roman"/>
        </w:rPr>
        <w:t>The Environmental Laboratory</w:t>
      </w:r>
    </w:p>
    <w:p w:rsidR="004E7639" w:rsidRPr="005B1BEB" w:rsidRDefault="004E7639" w:rsidP="00F9158C">
      <w:pPr>
        <w:pStyle w:val="ListParagraph"/>
        <w:numPr>
          <w:ilvl w:val="1"/>
          <w:numId w:val="91"/>
        </w:numPr>
        <w:rPr>
          <w:rFonts w:eastAsia="Times New Roman"/>
          <w:u w:val="single"/>
        </w:rPr>
      </w:pPr>
      <w:r w:rsidRPr="005B1BEB">
        <w:rPr>
          <w:rFonts w:eastAsia="Times New Roman"/>
        </w:rPr>
        <w:t>Environmental Health Section</w:t>
      </w:r>
    </w:p>
    <w:p w:rsidR="004E7639" w:rsidRPr="005B1BEB" w:rsidRDefault="004E7639" w:rsidP="00F9158C">
      <w:pPr>
        <w:pStyle w:val="ListParagraph"/>
        <w:numPr>
          <w:ilvl w:val="1"/>
          <w:numId w:val="91"/>
        </w:numPr>
        <w:rPr>
          <w:rFonts w:eastAsia="Times New Roman"/>
          <w:u w:val="single"/>
        </w:rPr>
      </w:pPr>
      <w:r w:rsidRPr="005B1BEB">
        <w:rPr>
          <w:rFonts w:eastAsia="Times New Roman"/>
        </w:rPr>
        <w:t>Laboratory System Improvement Section</w:t>
      </w:r>
    </w:p>
    <w:p w:rsidR="004E7639" w:rsidRPr="005B1BEB" w:rsidRDefault="004E7639" w:rsidP="00F9158C">
      <w:pPr>
        <w:pStyle w:val="ListParagraph"/>
        <w:numPr>
          <w:ilvl w:val="0"/>
          <w:numId w:val="91"/>
        </w:numPr>
        <w:rPr>
          <w:rFonts w:eastAsia="Times New Roman"/>
        </w:rPr>
      </w:pPr>
      <w:r w:rsidRPr="005B1BEB">
        <w:rPr>
          <w:rFonts w:eastAsia="Times New Roman"/>
        </w:rPr>
        <w:lastRenderedPageBreak/>
        <w:t>The Communicable Disease Control and Prevention Bureau includes:</w:t>
      </w:r>
    </w:p>
    <w:p w:rsidR="004E7639" w:rsidRPr="005B1BEB" w:rsidRDefault="004E7639" w:rsidP="00F9158C">
      <w:pPr>
        <w:pStyle w:val="ListParagraph"/>
        <w:numPr>
          <w:ilvl w:val="1"/>
          <w:numId w:val="91"/>
        </w:numPr>
        <w:rPr>
          <w:rFonts w:eastAsia="Times New Roman"/>
          <w:u w:val="single"/>
        </w:rPr>
      </w:pPr>
      <w:r w:rsidRPr="005B1BEB">
        <w:rPr>
          <w:rFonts w:eastAsia="Times New Roman"/>
        </w:rPr>
        <w:t>Communicable Disease Epidemiology Section</w:t>
      </w:r>
    </w:p>
    <w:p w:rsidR="004E7639" w:rsidRPr="005B1BEB" w:rsidRDefault="004E7639" w:rsidP="00F9158C">
      <w:pPr>
        <w:pStyle w:val="ListParagraph"/>
        <w:numPr>
          <w:ilvl w:val="1"/>
          <w:numId w:val="91"/>
        </w:numPr>
        <w:rPr>
          <w:rFonts w:eastAsia="Times New Roman"/>
          <w:u w:val="single"/>
        </w:rPr>
      </w:pPr>
      <w:r w:rsidRPr="005B1BEB">
        <w:rPr>
          <w:rFonts w:eastAsia="Times New Roman"/>
        </w:rPr>
        <w:t>Food and Consumer Safety Section</w:t>
      </w:r>
    </w:p>
    <w:p w:rsidR="004E7639" w:rsidRPr="005B1BEB" w:rsidRDefault="004E7639" w:rsidP="00F9158C">
      <w:pPr>
        <w:pStyle w:val="ListParagraph"/>
        <w:numPr>
          <w:ilvl w:val="1"/>
          <w:numId w:val="91"/>
        </w:numPr>
        <w:rPr>
          <w:rFonts w:eastAsia="Times New Roman"/>
          <w:u w:val="single"/>
        </w:rPr>
      </w:pPr>
      <w:r w:rsidRPr="005B1BEB">
        <w:rPr>
          <w:rFonts w:eastAsia="Times New Roman"/>
        </w:rPr>
        <w:t>Immunization Section</w:t>
      </w:r>
    </w:p>
    <w:p w:rsidR="004E7639" w:rsidRPr="005B1BEB" w:rsidRDefault="004E7639" w:rsidP="00F9158C">
      <w:pPr>
        <w:pStyle w:val="ListParagraph"/>
        <w:numPr>
          <w:ilvl w:val="1"/>
          <w:numId w:val="91"/>
        </w:numPr>
        <w:rPr>
          <w:rFonts w:eastAsia="Times New Roman"/>
          <w:u w:val="single"/>
        </w:rPr>
      </w:pPr>
      <w:r w:rsidRPr="005B1BEB">
        <w:rPr>
          <w:rFonts w:eastAsia="Times New Roman"/>
        </w:rPr>
        <w:t>STD/HIV Section</w:t>
      </w:r>
    </w:p>
    <w:p w:rsidR="000B4EC0" w:rsidRPr="005B1BEB" w:rsidRDefault="004E7639" w:rsidP="00F9158C">
      <w:pPr>
        <w:pStyle w:val="ListParagraph"/>
        <w:numPr>
          <w:ilvl w:val="1"/>
          <w:numId w:val="91"/>
        </w:numPr>
        <w:rPr>
          <w:rFonts w:eastAsia="Times New Roman"/>
          <w:u w:val="single"/>
        </w:rPr>
      </w:pPr>
      <w:r w:rsidRPr="005B1BEB">
        <w:rPr>
          <w:rFonts w:eastAsia="Times New Roman"/>
        </w:rPr>
        <w:t>Public Health Emergency Preparation and Training Section</w:t>
      </w:r>
    </w:p>
    <w:p w:rsidR="003A533E" w:rsidRPr="00AE6760" w:rsidRDefault="003A533E" w:rsidP="004E7639">
      <w:pPr>
        <w:pStyle w:val="ListParagraph"/>
        <w:numPr>
          <w:ilvl w:val="0"/>
          <w:numId w:val="0"/>
        </w:numPr>
        <w:spacing w:after="120" w:line="240" w:lineRule="auto"/>
        <w:ind w:left="720" w:hanging="360"/>
        <w:rPr>
          <w:rFonts w:eastAsia="Times New Roman" w:cs="Arial"/>
          <w:b/>
          <w:i/>
          <w:color w:val="4F81BD" w:themeColor="accent1"/>
        </w:rPr>
      </w:pPr>
    </w:p>
    <w:p w:rsidR="004E7639" w:rsidRPr="006F3A57" w:rsidRDefault="004E7639" w:rsidP="004E7639">
      <w:pPr>
        <w:pStyle w:val="ListParagraph"/>
        <w:numPr>
          <w:ilvl w:val="0"/>
          <w:numId w:val="0"/>
        </w:numPr>
        <w:spacing w:after="120" w:line="240" w:lineRule="auto"/>
        <w:ind w:left="720" w:hanging="360"/>
        <w:rPr>
          <w:rStyle w:val="Strong"/>
        </w:rPr>
      </w:pPr>
      <w:r w:rsidRPr="006F3A57">
        <w:rPr>
          <w:rStyle w:val="Strong"/>
        </w:rPr>
        <w:t xml:space="preserve">B.   Developmental Services Division </w:t>
      </w:r>
    </w:p>
    <w:p w:rsidR="004E7639" w:rsidRPr="0030220A" w:rsidRDefault="004E7639" w:rsidP="00A60D1F">
      <w:pPr>
        <w:spacing w:after="120"/>
        <w:ind w:left="720"/>
        <w:rPr>
          <w:rFonts w:eastAsia="Times New Roman" w:cs="Arial"/>
        </w:rPr>
      </w:pPr>
      <w:r w:rsidRPr="00AE6760">
        <w:rPr>
          <w:rFonts w:eastAsia="Times New Roman" w:cs="Arial"/>
        </w:rPr>
        <w:t>The Development Disabilities Program contracts with private, non-profit corporations to provide services across the lifespan for individuals who have developmental disabilities</w:t>
      </w:r>
      <w:r w:rsidRPr="0030220A">
        <w:rPr>
          <w:rFonts w:eastAsia="Times New Roman" w:cs="Arial"/>
        </w:rPr>
        <w:t xml:space="preserve"> and their families. The focus of the program is to tailor care to the individual and provide it in as natural an environment as possible.</w:t>
      </w:r>
    </w:p>
    <w:p w:rsidR="004E7639" w:rsidRPr="006F3A57" w:rsidRDefault="004E7639" w:rsidP="00AE6760">
      <w:pPr>
        <w:spacing w:after="0"/>
        <w:ind w:left="360"/>
        <w:rPr>
          <w:rStyle w:val="Strong"/>
        </w:rPr>
      </w:pPr>
      <w:r w:rsidRPr="006F3A57">
        <w:rPr>
          <w:rStyle w:val="Strong"/>
        </w:rPr>
        <w:t xml:space="preserve">C.   Senior and Long-Term Care Division </w:t>
      </w:r>
    </w:p>
    <w:p w:rsidR="004E7639" w:rsidRPr="0030220A" w:rsidRDefault="004E7639" w:rsidP="00A60D1F">
      <w:pPr>
        <w:pStyle w:val="ListParagraph"/>
        <w:numPr>
          <w:ilvl w:val="0"/>
          <w:numId w:val="0"/>
        </w:numPr>
        <w:spacing w:after="120"/>
        <w:ind w:left="720"/>
        <w:rPr>
          <w:rFonts w:cs="Arial"/>
          <w:szCs w:val="22"/>
        </w:rPr>
      </w:pPr>
      <w:r w:rsidRPr="0030220A">
        <w:rPr>
          <w:rFonts w:eastAsia="Times New Roman" w:cs="Arial"/>
          <w:szCs w:val="22"/>
        </w:rPr>
        <w:t>This division</w:t>
      </w:r>
      <w:r w:rsidRPr="0030220A">
        <w:rPr>
          <w:rFonts w:eastAsia="Times New Roman" w:cs="Arial"/>
          <w:b/>
          <w:i/>
          <w:szCs w:val="22"/>
        </w:rPr>
        <w:t xml:space="preserve"> </w:t>
      </w:r>
      <w:r w:rsidRPr="0030220A">
        <w:rPr>
          <w:rFonts w:cs="Arial"/>
          <w:szCs w:val="22"/>
        </w:rPr>
        <w:t>administers aging services, adult protective services, and the state’s two veterans' homes. It also helps to fund care for elderly and disabled Montanans who are eligible for Medicaid and Supplemental Security Income (SSI).</w:t>
      </w:r>
    </w:p>
    <w:p w:rsidR="004E7639" w:rsidRPr="00A60D1F" w:rsidRDefault="004E7639" w:rsidP="00AE6760">
      <w:pPr>
        <w:pStyle w:val="ListParagraph"/>
        <w:numPr>
          <w:ilvl w:val="0"/>
          <w:numId w:val="0"/>
        </w:numPr>
        <w:ind w:left="720"/>
        <w:rPr>
          <w:rFonts w:cs="Arial"/>
          <w:sz w:val="12"/>
          <w:szCs w:val="12"/>
        </w:rPr>
      </w:pPr>
    </w:p>
    <w:p w:rsidR="004E7639" w:rsidRPr="006F3A57" w:rsidRDefault="004E7639" w:rsidP="00AE6760">
      <w:pPr>
        <w:pStyle w:val="ListParagraph"/>
        <w:numPr>
          <w:ilvl w:val="0"/>
          <w:numId w:val="0"/>
        </w:numPr>
        <w:spacing w:after="360"/>
        <w:ind w:left="720" w:hanging="360"/>
        <w:rPr>
          <w:rStyle w:val="Strong"/>
        </w:rPr>
      </w:pPr>
      <w:r w:rsidRPr="006F3A57">
        <w:rPr>
          <w:rStyle w:val="Strong"/>
        </w:rPr>
        <w:t>D.   Disability Transitions Services Division</w:t>
      </w:r>
    </w:p>
    <w:p w:rsidR="004E7639" w:rsidRPr="0030220A" w:rsidRDefault="004E7639" w:rsidP="0080365E">
      <w:pPr>
        <w:pStyle w:val="ListParagraph"/>
        <w:numPr>
          <w:ilvl w:val="0"/>
          <w:numId w:val="0"/>
        </w:numPr>
        <w:tabs>
          <w:tab w:val="left" w:pos="630"/>
        </w:tabs>
        <w:spacing w:after="120"/>
        <w:ind w:left="720"/>
        <w:rPr>
          <w:rFonts w:cs="Arial"/>
          <w:szCs w:val="22"/>
        </w:rPr>
      </w:pPr>
      <w:r w:rsidRPr="0030220A">
        <w:rPr>
          <w:rFonts w:cs="Arial"/>
          <w:szCs w:val="22"/>
        </w:rPr>
        <w:t>This division contracts with private, non-profit corporations to provide services across the lifespan for individuals who have developmental disabilities and their families. The focus of the program is to tailor care to the individual and provide it in an environment as natural as possible.</w:t>
      </w:r>
    </w:p>
    <w:p w:rsidR="004E7639" w:rsidRPr="00823AC5" w:rsidRDefault="004E7639" w:rsidP="00B71873">
      <w:pPr>
        <w:tabs>
          <w:tab w:val="left" w:pos="9360"/>
        </w:tabs>
        <w:spacing w:after="120"/>
        <w:rPr>
          <w:rFonts w:eastAsia="Times New Roman" w:cs="Arial"/>
        </w:rPr>
      </w:pPr>
      <w:r w:rsidRPr="00823AC5">
        <w:rPr>
          <w:rFonts w:eastAsia="Times New Roman" w:cs="Arial"/>
        </w:rPr>
        <w:t>All four divisions are represented on the Disability and Health Community Planning Group (for</w:t>
      </w:r>
      <w:r w:rsidR="0030220A" w:rsidRPr="00823AC5">
        <w:rPr>
          <w:rFonts w:eastAsia="Times New Roman" w:cs="Arial"/>
        </w:rPr>
        <w:t xml:space="preserve">merly the MTDH Advisory Board) </w:t>
      </w:r>
      <w:r w:rsidRPr="00823AC5">
        <w:rPr>
          <w:rFonts w:eastAsia="Times New Roman" w:cs="Arial"/>
        </w:rPr>
        <w:t xml:space="preserve">and the Core Management Team of the MTDH Program. </w:t>
      </w:r>
      <w:r w:rsidRPr="00823AC5">
        <w:rPr>
          <w:rFonts w:eastAsia="Times New Roman" w:cs="Arial"/>
        </w:rPr>
        <w:br/>
      </w:r>
      <w:r w:rsidRPr="00823AC5">
        <w:rPr>
          <w:rFonts w:eastAsia="Times New Roman" w:cs="Arial"/>
        </w:rPr>
        <w:br/>
      </w:r>
      <w:r w:rsidR="0080365E" w:rsidRPr="006F3A57">
        <w:rPr>
          <w:rStyle w:val="Strong"/>
        </w:rPr>
        <w:t xml:space="preserve">The </w:t>
      </w:r>
      <w:r w:rsidRPr="006F3A57">
        <w:rPr>
          <w:rStyle w:val="Strong"/>
        </w:rPr>
        <w:t xml:space="preserve">Rural Institute: Center for Excellence in Disability Education, Research, and Service, </w:t>
      </w:r>
      <w:r w:rsidRPr="00823AC5">
        <w:rPr>
          <w:rFonts w:eastAsia="Times New Roman" w:cs="Arial"/>
        </w:rPr>
        <w:t>is part of the national network of programs funded by the Federal Administration on Developmental Disabilities (ADD) committed to increasing and supporting the independence, productivity, and inclusion of people with disabilities into the community. Since 1979, the Institute has designed, implemented, and evaluated specific programs and services to prevent secondary conditions and promote the health of Montanans with disabilities.</w:t>
      </w:r>
    </w:p>
    <w:p w:rsidR="004E7639" w:rsidRPr="00823AC5" w:rsidRDefault="004E7639" w:rsidP="0080365E">
      <w:pPr>
        <w:spacing w:before="100" w:beforeAutospacing="1" w:after="240"/>
        <w:rPr>
          <w:rFonts w:eastAsia="Times New Roman" w:cs="Arial"/>
        </w:rPr>
      </w:pPr>
      <w:r w:rsidRPr="00823AC5">
        <w:rPr>
          <w:rFonts w:eastAsia="Times New Roman" w:cs="Arial"/>
        </w:rPr>
        <w:t>These primary partnerships facilitate the collection of data, dissemination of information, training of professionals, and other activities that relate to more than one program or one division. The MTDH Program provides a mechanism whereby people with disabilities are included in policy advisory boards within the three partnering divisions so that their unique needs are factored into any efforts to prevent secondary conditions.</w:t>
      </w:r>
    </w:p>
    <w:p w:rsidR="004E7639" w:rsidRDefault="004E7639" w:rsidP="00AE6760">
      <w:pPr>
        <w:pStyle w:val="NormalWeb"/>
        <w:spacing w:after="240" w:afterAutospacing="0" w:line="276" w:lineRule="auto"/>
        <w:rPr>
          <w:rFonts w:asciiTheme="minorHAnsi" w:hAnsiTheme="minorHAnsi" w:cstheme="minorHAnsi"/>
          <w:sz w:val="23"/>
          <w:szCs w:val="23"/>
        </w:rPr>
      </w:pPr>
    </w:p>
    <w:p w:rsidR="004E7639" w:rsidRDefault="004E7639" w:rsidP="00AE6760">
      <w:pPr>
        <w:rPr>
          <w:rFonts w:eastAsia="Times New Roman" w:cstheme="minorHAnsi"/>
          <w:b/>
          <w:sz w:val="24"/>
          <w:szCs w:val="24"/>
        </w:rPr>
      </w:pPr>
      <w:r>
        <w:rPr>
          <w:rFonts w:cstheme="minorHAnsi"/>
          <w:b/>
        </w:rPr>
        <w:br w:type="page"/>
      </w:r>
    </w:p>
    <w:p w:rsidR="006F3A57" w:rsidRDefault="006F3A57" w:rsidP="006F3A57">
      <w:pPr>
        <w:pStyle w:val="Heading2"/>
      </w:pPr>
      <w:bookmarkStart w:id="36" w:name="_Toc403370691"/>
      <w:r>
        <w:lastRenderedPageBreak/>
        <w:t>Logic Model</w:t>
      </w:r>
      <w:bookmarkEnd w:id="36"/>
    </w:p>
    <w:p w:rsidR="00474C78" w:rsidRPr="00474C78" w:rsidRDefault="00474C78" w:rsidP="006F3A57">
      <w:r w:rsidRPr="00474C78">
        <w:t xml:space="preserve">The logic model developed for the MTDH Program State Plan reflects the program’s “theory of the problem.” Specifically, five key intermediate goals or “pathways of influence” are accepted by public health practitioners as having a high probability for achieving the long-term outcome goal of improved health, prevention and management of secondary conditions, and elimination of health disparities experienced by people with disabilities. </w:t>
      </w:r>
    </w:p>
    <w:p w:rsidR="00474C78" w:rsidRPr="00474C78" w:rsidRDefault="00474C78" w:rsidP="006F3A57">
      <w:r w:rsidRPr="00474C78">
        <w:t>The first intermediate goal—</w:t>
      </w:r>
      <w:r w:rsidRPr="00474C78">
        <w:rPr>
          <w:i/>
          <w:iCs/>
        </w:rPr>
        <w:t>Building capacity</w:t>
      </w:r>
      <w:r w:rsidRPr="00474C78">
        <w:t>—focuses on strengthening the abilities of the MTDH Program and its partners to implement the remaining four intermediate outcome goals. It involves ongoing systems of data collection and dissemination, education of current and future partners, and procurement of additional funding.</w:t>
      </w:r>
    </w:p>
    <w:p w:rsidR="00474C78" w:rsidRPr="00474C78" w:rsidRDefault="00474C78" w:rsidP="006F3A57">
      <w:r w:rsidRPr="00474C78">
        <w:t>The next two intermediate goals are designed to increase health promotion opportunities available to Montanans with disabilities.</w:t>
      </w:r>
    </w:p>
    <w:p w:rsidR="00474C78" w:rsidRPr="00474C78" w:rsidRDefault="00474C78" w:rsidP="006F3A57">
      <w:r w:rsidRPr="00474C78">
        <w:t>The second intermediate goal—</w:t>
      </w:r>
      <w:r w:rsidRPr="00474C78">
        <w:rPr>
          <w:bCs/>
        </w:rPr>
        <w:t xml:space="preserve"> </w:t>
      </w:r>
      <w:r w:rsidRPr="00474C78">
        <w:rPr>
          <w:bCs/>
          <w:i/>
        </w:rPr>
        <w:t>Support direct health promotion services and programs</w:t>
      </w:r>
      <w:r w:rsidRPr="00474C78">
        <w:rPr>
          <w:i/>
        </w:rPr>
        <w:t xml:space="preserve"> that meet the specific health promotion needs of PWD—</w:t>
      </w:r>
      <w:r w:rsidRPr="00474C78">
        <w:t>focuses on: a) training partners to implement programs and provide services, and b) supporting mentoring programs.</w:t>
      </w:r>
    </w:p>
    <w:p w:rsidR="00474C78" w:rsidRPr="00474C78" w:rsidRDefault="00474C78" w:rsidP="006F3A57">
      <w:r w:rsidRPr="00474C78">
        <w:t>The third intermediate goal—</w:t>
      </w:r>
      <w:r w:rsidRPr="00474C78">
        <w:rPr>
          <w:i/>
        </w:rPr>
        <w:t>I</w:t>
      </w:r>
      <w:r w:rsidRPr="00474C78">
        <w:rPr>
          <w:bCs/>
          <w:i/>
        </w:rPr>
        <w:t>ncrease access to generic health promotion services</w:t>
      </w:r>
      <w:r w:rsidRPr="00474C78">
        <w:rPr>
          <w:i/>
        </w:rPr>
        <w:t>, ensuring civil rights of PWD</w:t>
      </w:r>
      <w:r w:rsidRPr="00474C78">
        <w:t xml:space="preserve">—focuses on: a) increased awareness of public health partners about barriers experienced by PWP, b)  increased awareness of PWD regarding the benefits of generic services, and c) support removal of barriers. </w:t>
      </w:r>
    </w:p>
    <w:p w:rsidR="00474C78" w:rsidRPr="00474C78" w:rsidRDefault="00474C78" w:rsidP="006F3A57">
      <w:r w:rsidRPr="00474C78">
        <w:t>The fourth intermediate goal—</w:t>
      </w:r>
      <w:r w:rsidRPr="00474C78">
        <w:rPr>
          <w:i/>
          <w:iCs/>
        </w:rPr>
        <w:t>Improve access to community environments, ensuring civil rights of PWD, and improving community planning to optimize resilience (Emergency Preparedness)</w:t>
      </w:r>
      <w:r w:rsidRPr="00474C78">
        <w:t xml:space="preserve">—acknowledges that all impairments, disabilities, and health problems are dynamic experiences. In interaction with environmental barriers, these factors result in more isolation and less community participation for people experiencing them. Removal of such barriers is one way to support people with long-term disability and chronic conditions to live more independent lives and to find the resources they need to be healthier. Adding design features that facilitate community participation is a proactive strategy that is often a direct outcome of people with disabilities’ involvement in community planning. </w:t>
      </w:r>
    </w:p>
    <w:p w:rsidR="006F3A57" w:rsidRDefault="00474C78" w:rsidP="00474C78">
      <w:pPr>
        <w:sectPr w:rsidR="006F3A57" w:rsidSect="00A07593">
          <w:pgSz w:w="12240" w:h="15840"/>
          <w:pgMar w:top="1440" w:right="1440" w:bottom="1440" w:left="1440" w:header="720" w:footer="720" w:gutter="0"/>
          <w:cols w:space="720"/>
          <w:docGrid w:linePitch="360"/>
        </w:sectPr>
      </w:pPr>
      <w:r w:rsidRPr="00474C78">
        <w:t>The fifth intermediate outcome goal—</w:t>
      </w:r>
      <w:r w:rsidRPr="00474C78">
        <w:rPr>
          <w:bCs/>
        </w:rPr>
        <w:t xml:space="preserve"> </w:t>
      </w:r>
      <w:r w:rsidRPr="00474C78">
        <w:rPr>
          <w:bCs/>
          <w:i/>
        </w:rPr>
        <w:t>Integrate disability and health agenda</w:t>
      </w:r>
      <w:r w:rsidRPr="00474C78">
        <w:rPr>
          <w:i/>
        </w:rPr>
        <w:t xml:space="preserve"> into public policies that influence the health of PWD—</w:t>
      </w:r>
      <w:r w:rsidRPr="00474C78">
        <w:t>focuses on: a) educating policy professionals, b) partnering with other agencies and programs, and c) integrating disability a</w:t>
      </w:r>
      <w:r w:rsidR="006765AA">
        <w:t>nd health into long-range plans</w:t>
      </w:r>
    </w:p>
    <w:p w:rsidR="00474C78" w:rsidRDefault="00310630" w:rsidP="006F3A57">
      <w:pPr>
        <w:pStyle w:val="Caption"/>
      </w:pPr>
      <w:r>
        <w:lastRenderedPageBreak/>
        <w:t xml:space="preserve">Table </w:t>
      </w:r>
      <w:r w:rsidR="00F867DB">
        <w:t>6</w:t>
      </w:r>
      <w:r w:rsidR="00474C78" w:rsidRPr="001A24B9">
        <w:t>: Outcome Goals</w:t>
      </w:r>
    </w:p>
    <w:p w:rsidR="00767DB3" w:rsidRPr="00BC7077" w:rsidRDefault="00767DB3" w:rsidP="00767DB3">
      <w:pPr>
        <w:jc w:val="center"/>
        <w:rPr>
          <w:rFonts w:eastAsia="Times New Roman" w:cstheme="minorHAnsi"/>
          <w:b/>
          <w:bCs/>
          <w:sz w:val="23"/>
          <w:szCs w:val="23"/>
        </w:rPr>
      </w:pPr>
      <w:r w:rsidRPr="00BC7077">
        <w:rPr>
          <w:rFonts w:eastAsia="Times New Roman" w:cstheme="minorHAnsi"/>
          <w:b/>
          <w:bCs/>
          <w:sz w:val="23"/>
          <w:szCs w:val="23"/>
        </w:rPr>
        <w:t>Long-term Outcome Goal</w:t>
      </w:r>
    </w:p>
    <w:p w:rsidR="00767DB3" w:rsidRPr="00767DB3" w:rsidRDefault="00767DB3" w:rsidP="00767DB3">
      <w:r>
        <w:rPr>
          <w:rFonts w:eastAsia="Times New Roman" w:cstheme="minorHAnsi"/>
          <w:bCs/>
          <w:sz w:val="23"/>
          <w:szCs w:val="23"/>
        </w:rPr>
        <w:t>Reduce/eliminate health disparities experienced by populations with disabilities in Montana and promote/maximize health, prevent chronic disease, improve emergency preparedness and increase the quality of life among Montanans with disabilities in across the life course.</w:t>
      </w:r>
    </w:p>
    <w:tbl>
      <w:tblPr>
        <w:tblW w:w="9468" w:type="dxa"/>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686"/>
        <w:gridCol w:w="119"/>
        <w:gridCol w:w="1888"/>
        <w:gridCol w:w="91"/>
        <w:gridCol w:w="1986"/>
        <w:gridCol w:w="91"/>
        <w:gridCol w:w="1919"/>
        <w:gridCol w:w="78"/>
        <w:gridCol w:w="1610"/>
      </w:tblGrid>
      <w:tr w:rsidR="00474C78" w:rsidTr="00E15B29">
        <w:trPr>
          <w:tblHeader/>
        </w:trPr>
        <w:tc>
          <w:tcPr>
            <w:tcW w:w="9468" w:type="dxa"/>
            <w:gridSpan w:val="9"/>
            <w:tcBorders>
              <w:top w:val="outset" w:sz="6" w:space="0" w:color="111111"/>
              <w:left w:val="outset" w:sz="6" w:space="0" w:color="111111"/>
              <w:bottom w:val="outset" w:sz="6" w:space="0" w:color="111111"/>
              <w:right w:val="outset" w:sz="6" w:space="0" w:color="111111"/>
            </w:tcBorders>
            <w:hideMark/>
          </w:tcPr>
          <w:p w:rsidR="00474C78" w:rsidRPr="00FC1AD8" w:rsidRDefault="00474C78" w:rsidP="00FC1AD8">
            <w:pPr>
              <w:spacing w:before="120" w:after="120"/>
              <w:jc w:val="center"/>
              <w:rPr>
                <w:rStyle w:val="Strong"/>
              </w:rPr>
            </w:pPr>
            <w:r>
              <w:rPr>
                <w:rFonts w:eastAsiaTheme="minorHAnsi"/>
              </w:rPr>
              <w:br w:type="page"/>
            </w:r>
            <w:r w:rsidRPr="00FC1AD8">
              <w:rPr>
                <w:rStyle w:val="Strong"/>
              </w:rPr>
              <w:t>Intermediate Outcome Goal</w:t>
            </w:r>
          </w:p>
        </w:tc>
      </w:tr>
      <w:tr w:rsidR="00474C78" w:rsidTr="00767DB3">
        <w:tc>
          <w:tcPr>
            <w:tcW w:w="1686" w:type="dxa"/>
            <w:tcBorders>
              <w:top w:val="outset" w:sz="6" w:space="0" w:color="111111"/>
              <w:left w:val="outset" w:sz="6" w:space="0" w:color="111111"/>
              <w:bottom w:val="outset" w:sz="6" w:space="0" w:color="111111"/>
              <w:right w:val="outset" w:sz="6" w:space="0" w:color="111111"/>
            </w:tcBorders>
            <w:shd w:val="clear" w:color="auto" w:fill="D3F3FF"/>
            <w:hideMark/>
          </w:tcPr>
          <w:p w:rsidR="00474C78" w:rsidRDefault="00474C78" w:rsidP="004D441E">
            <w:pPr>
              <w:pStyle w:val="NormalWeb"/>
              <w:spacing w:before="0" w:beforeAutospacing="0" w:after="60" w:afterAutospacing="0"/>
              <w:jc w:val="center"/>
              <w:rPr>
                <w:rFonts w:asciiTheme="minorHAnsi" w:hAnsiTheme="minorHAnsi" w:cstheme="minorHAnsi"/>
                <w:b/>
                <w:bCs/>
                <w:sz w:val="20"/>
                <w:szCs w:val="20"/>
              </w:rPr>
            </w:pPr>
            <w:r>
              <w:rPr>
                <w:rFonts w:ascii="Arial" w:hAnsi="Arial" w:cs="Arial"/>
                <w:bCs/>
                <w:sz w:val="20"/>
                <w:szCs w:val="20"/>
              </w:rPr>
              <w:t> </w:t>
            </w:r>
            <w:r w:rsidRPr="00AD62D3">
              <w:rPr>
                <w:rFonts w:asciiTheme="minorHAnsi" w:hAnsiTheme="minorHAnsi" w:cstheme="minorHAnsi"/>
                <w:b/>
                <w:bCs/>
                <w:sz w:val="20"/>
                <w:szCs w:val="20"/>
              </w:rPr>
              <w:t>↑</w:t>
            </w:r>
            <w:r>
              <w:rPr>
                <w:rFonts w:asciiTheme="minorHAnsi" w:hAnsiTheme="minorHAnsi" w:cstheme="minorHAnsi"/>
                <w:b/>
                <w:bCs/>
                <w:sz w:val="20"/>
                <w:szCs w:val="20"/>
              </w:rPr>
              <w:t xml:space="preserve"> </w:t>
            </w:r>
          </w:p>
          <w:p w:rsidR="00474C78" w:rsidRPr="00E90030" w:rsidRDefault="00474C78" w:rsidP="00F9158C">
            <w:pPr>
              <w:pStyle w:val="NormalWeb"/>
              <w:numPr>
                <w:ilvl w:val="0"/>
                <w:numId w:val="9"/>
              </w:numPr>
              <w:spacing w:before="0" w:beforeAutospacing="0" w:after="0" w:afterAutospacing="0"/>
              <w:ind w:left="144" w:hanging="144"/>
              <w:rPr>
                <w:rFonts w:ascii="Arial" w:hAnsi="Arial" w:cs="Arial"/>
              </w:rPr>
            </w:pPr>
            <w:r w:rsidRPr="00E90030">
              <w:rPr>
                <w:rFonts w:ascii="Arial" w:hAnsi="Arial" w:cs="Arial"/>
                <w:bCs/>
                <w:sz w:val="20"/>
                <w:szCs w:val="20"/>
              </w:rPr>
              <w:t xml:space="preserve">Build capacity </w:t>
            </w:r>
            <w:r w:rsidRPr="00E90030">
              <w:rPr>
                <w:rFonts w:ascii="Arial" w:hAnsi="Arial" w:cs="Arial"/>
                <w:sz w:val="20"/>
                <w:szCs w:val="20"/>
              </w:rPr>
              <w:t xml:space="preserve">of the MTDH program &amp; partnerships </w:t>
            </w:r>
          </w:p>
        </w:tc>
        <w:tc>
          <w:tcPr>
            <w:tcW w:w="119" w:type="dxa"/>
            <w:tcBorders>
              <w:top w:val="outset" w:sz="6" w:space="0" w:color="111111"/>
              <w:left w:val="outset" w:sz="6" w:space="0" w:color="111111"/>
              <w:bottom w:val="outset" w:sz="6" w:space="0" w:color="111111"/>
              <w:right w:val="outset" w:sz="6" w:space="0" w:color="111111"/>
            </w:tcBorders>
            <w:hideMark/>
          </w:tcPr>
          <w:p w:rsidR="00474C78" w:rsidRPr="00AD62D3" w:rsidRDefault="00474C78" w:rsidP="004D441E">
            <w:pPr>
              <w:jc w:val="center"/>
              <w:rPr>
                <w:sz w:val="24"/>
                <w:szCs w:val="24"/>
              </w:rPr>
            </w:pPr>
            <w:r w:rsidRPr="00AD62D3">
              <w:t> </w:t>
            </w:r>
          </w:p>
        </w:tc>
        <w:tc>
          <w:tcPr>
            <w:tcW w:w="1888" w:type="dxa"/>
            <w:tcBorders>
              <w:top w:val="outset" w:sz="6" w:space="0" w:color="111111"/>
              <w:left w:val="outset" w:sz="6" w:space="0" w:color="111111"/>
              <w:bottom w:val="outset" w:sz="6" w:space="0" w:color="111111"/>
              <w:right w:val="outset" w:sz="6" w:space="0" w:color="111111"/>
            </w:tcBorders>
            <w:shd w:val="clear" w:color="auto" w:fill="D3F3FF"/>
            <w:hideMark/>
          </w:tcPr>
          <w:p w:rsidR="00474C78" w:rsidRDefault="00474C78" w:rsidP="004D441E">
            <w:pPr>
              <w:pStyle w:val="NormalWeb"/>
              <w:spacing w:before="0" w:beforeAutospacing="0" w:after="60" w:afterAutospacing="0"/>
              <w:jc w:val="center"/>
              <w:rPr>
                <w:rFonts w:asciiTheme="minorHAnsi" w:hAnsiTheme="minorHAnsi" w:cstheme="minorHAnsi"/>
                <w:b/>
                <w:bCs/>
                <w:sz w:val="20"/>
                <w:szCs w:val="20"/>
              </w:rPr>
            </w:pPr>
            <w:r w:rsidRPr="00AD62D3">
              <w:rPr>
                <w:rFonts w:asciiTheme="minorHAnsi" w:hAnsiTheme="minorHAnsi" w:cstheme="minorHAnsi"/>
                <w:b/>
                <w:bCs/>
                <w:sz w:val="20"/>
                <w:szCs w:val="20"/>
              </w:rPr>
              <w:t>↑</w:t>
            </w:r>
          </w:p>
          <w:p w:rsidR="00474C78" w:rsidRPr="00E90030" w:rsidRDefault="00474C78" w:rsidP="00F9158C">
            <w:pPr>
              <w:pStyle w:val="NormalWeb"/>
              <w:numPr>
                <w:ilvl w:val="0"/>
                <w:numId w:val="8"/>
              </w:numPr>
              <w:spacing w:before="0" w:beforeAutospacing="0" w:after="0" w:afterAutospacing="0"/>
              <w:ind w:left="144" w:hanging="144"/>
              <w:rPr>
                <w:rFonts w:ascii="Arial" w:hAnsi="Arial" w:cs="Arial"/>
                <w:color w:val="000000" w:themeColor="text1"/>
              </w:rPr>
            </w:pPr>
            <w:r w:rsidRPr="00E90030">
              <w:rPr>
                <w:rFonts w:ascii="Arial" w:hAnsi="Arial" w:cs="Arial"/>
                <w:bCs/>
                <w:sz w:val="20"/>
                <w:szCs w:val="20"/>
              </w:rPr>
              <w:t>Support direct health promotion services and programs</w:t>
            </w:r>
            <w:r w:rsidRPr="00E90030">
              <w:rPr>
                <w:rFonts w:ascii="Arial" w:hAnsi="Arial" w:cs="Arial"/>
                <w:sz w:val="20"/>
                <w:szCs w:val="20"/>
              </w:rPr>
              <w:t xml:space="preserve"> that meet the specific health prom</w:t>
            </w:r>
            <w:r w:rsidRPr="00E90030">
              <w:rPr>
                <w:rFonts w:ascii="Arial" w:hAnsi="Arial" w:cs="Arial"/>
                <w:color w:val="000000" w:themeColor="text1"/>
                <w:sz w:val="20"/>
                <w:szCs w:val="20"/>
              </w:rPr>
              <w:t>otion needs of PWD</w:t>
            </w:r>
          </w:p>
        </w:tc>
        <w:tc>
          <w:tcPr>
            <w:tcW w:w="91" w:type="dxa"/>
            <w:tcBorders>
              <w:top w:val="outset" w:sz="6" w:space="0" w:color="111111"/>
              <w:left w:val="outset" w:sz="6" w:space="0" w:color="111111"/>
              <w:bottom w:val="outset" w:sz="6" w:space="0" w:color="111111"/>
              <w:right w:val="outset" w:sz="6" w:space="0" w:color="111111"/>
            </w:tcBorders>
            <w:hideMark/>
          </w:tcPr>
          <w:p w:rsidR="00474C78" w:rsidRPr="00AD62D3" w:rsidRDefault="00474C78" w:rsidP="004D441E">
            <w:pPr>
              <w:jc w:val="center"/>
              <w:rPr>
                <w:rFonts w:cstheme="minorHAnsi"/>
                <w:sz w:val="24"/>
                <w:szCs w:val="24"/>
              </w:rPr>
            </w:pPr>
            <w:r w:rsidRPr="00AD62D3">
              <w:rPr>
                <w:rFonts w:cstheme="minorHAnsi"/>
              </w:rPr>
              <w:t> </w:t>
            </w:r>
          </w:p>
        </w:tc>
        <w:tc>
          <w:tcPr>
            <w:tcW w:w="1986" w:type="dxa"/>
            <w:tcBorders>
              <w:top w:val="outset" w:sz="6" w:space="0" w:color="111111"/>
              <w:left w:val="outset" w:sz="6" w:space="0" w:color="111111"/>
              <w:bottom w:val="outset" w:sz="6" w:space="0" w:color="111111"/>
              <w:right w:val="outset" w:sz="6" w:space="0" w:color="111111"/>
            </w:tcBorders>
            <w:shd w:val="clear" w:color="auto" w:fill="D3F3FF"/>
            <w:hideMark/>
          </w:tcPr>
          <w:p w:rsidR="00474C78" w:rsidRPr="00AD62D3" w:rsidRDefault="00474C78" w:rsidP="004D441E">
            <w:pPr>
              <w:pStyle w:val="NormalWeb"/>
              <w:tabs>
                <w:tab w:val="left" w:pos="90"/>
              </w:tabs>
              <w:spacing w:after="60" w:afterAutospacing="0"/>
              <w:jc w:val="center"/>
              <w:rPr>
                <w:rFonts w:asciiTheme="minorHAnsi" w:hAnsiTheme="minorHAnsi" w:cstheme="minorHAnsi"/>
              </w:rPr>
            </w:pPr>
            <w:r w:rsidRPr="00AD62D3">
              <w:rPr>
                <w:rFonts w:asciiTheme="minorHAnsi" w:hAnsiTheme="minorHAnsi" w:cstheme="minorHAnsi"/>
                <w:b/>
                <w:bCs/>
                <w:sz w:val="20"/>
                <w:szCs w:val="20"/>
              </w:rPr>
              <w:t>↑</w:t>
            </w:r>
          </w:p>
          <w:p w:rsidR="00474C78" w:rsidRPr="00CE6C40" w:rsidRDefault="00474C78" w:rsidP="00F9158C">
            <w:pPr>
              <w:pStyle w:val="ListParagraph"/>
              <w:numPr>
                <w:ilvl w:val="0"/>
                <w:numId w:val="7"/>
              </w:numPr>
              <w:spacing w:line="240" w:lineRule="auto"/>
              <w:ind w:left="144" w:hanging="144"/>
            </w:pPr>
            <w:r w:rsidRPr="00CE6C40">
              <w:rPr>
                <w:sz w:val="20"/>
                <w:szCs w:val="20"/>
              </w:rPr>
              <w:t>I</w:t>
            </w:r>
            <w:r w:rsidRPr="00CE6C40">
              <w:rPr>
                <w:bCs/>
                <w:sz w:val="20"/>
                <w:szCs w:val="20"/>
              </w:rPr>
              <w:t xml:space="preserve">ncrease access to generic </w:t>
            </w:r>
            <w:r>
              <w:rPr>
                <w:bCs/>
                <w:sz w:val="20"/>
                <w:szCs w:val="20"/>
              </w:rPr>
              <w:t xml:space="preserve">health promotion </w:t>
            </w:r>
            <w:r w:rsidRPr="00CE6C40">
              <w:rPr>
                <w:bCs/>
                <w:sz w:val="20"/>
                <w:szCs w:val="20"/>
              </w:rPr>
              <w:t>services</w:t>
            </w:r>
            <w:r w:rsidRPr="00CE6C40">
              <w:rPr>
                <w:sz w:val="20"/>
                <w:szCs w:val="20"/>
              </w:rPr>
              <w:t>, ensuring civil rights of PWD</w:t>
            </w:r>
          </w:p>
        </w:tc>
        <w:tc>
          <w:tcPr>
            <w:tcW w:w="91" w:type="dxa"/>
            <w:tcBorders>
              <w:top w:val="outset" w:sz="6" w:space="0" w:color="111111"/>
              <w:left w:val="outset" w:sz="6" w:space="0" w:color="111111"/>
              <w:bottom w:val="outset" w:sz="6" w:space="0" w:color="111111"/>
              <w:right w:val="outset" w:sz="6" w:space="0" w:color="111111"/>
            </w:tcBorders>
            <w:hideMark/>
          </w:tcPr>
          <w:p w:rsidR="00474C78" w:rsidRPr="00AD62D3" w:rsidRDefault="00474C78" w:rsidP="004D441E">
            <w:pPr>
              <w:jc w:val="center"/>
              <w:rPr>
                <w:rFonts w:cstheme="minorHAnsi"/>
                <w:sz w:val="24"/>
                <w:szCs w:val="24"/>
              </w:rPr>
            </w:pPr>
            <w:r w:rsidRPr="00AD62D3">
              <w:rPr>
                <w:rFonts w:cstheme="minorHAnsi"/>
              </w:rPr>
              <w:t> </w:t>
            </w:r>
          </w:p>
        </w:tc>
        <w:tc>
          <w:tcPr>
            <w:tcW w:w="1919" w:type="dxa"/>
            <w:tcBorders>
              <w:top w:val="outset" w:sz="6" w:space="0" w:color="111111"/>
              <w:left w:val="outset" w:sz="6" w:space="0" w:color="111111"/>
              <w:bottom w:val="outset" w:sz="6" w:space="0" w:color="111111"/>
              <w:right w:val="outset" w:sz="6" w:space="0" w:color="111111"/>
            </w:tcBorders>
            <w:shd w:val="clear" w:color="auto" w:fill="D3F3FF"/>
            <w:hideMark/>
          </w:tcPr>
          <w:p w:rsidR="00474C78" w:rsidRPr="00AD62D3" w:rsidRDefault="00474C78" w:rsidP="004D441E">
            <w:pPr>
              <w:pStyle w:val="NormalWeb"/>
              <w:spacing w:after="60" w:afterAutospacing="0"/>
              <w:jc w:val="center"/>
              <w:rPr>
                <w:rFonts w:asciiTheme="minorHAnsi" w:hAnsiTheme="minorHAnsi" w:cstheme="minorHAnsi"/>
              </w:rPr>
            </w:pPr>
            <w:r w:rsidRPr="00AD62D3">
              <w:rPr>
                <w:rFonts w:asciiTheme="minorHAnsi" w:hAnsiTheme="minorHAnsi" w:cstheme="minorHAnsi"/>
                <w:b/>
                <w:bCs/>
                <w:sz w:val="20"/>
                <w:szCs w:val="20"/>
              </w:rPr>
              <w:t>↑</w:t>
            </w:r>
          </w:p>
          <w:p w:rsidR="00474C78" w:rsidRPr="008C727F" w:rsidRDefault="00474C78" w:rsidP="00F9158C">
            <w:pPr>
              <w:pStyle w:val="ListParagraph"/>
              <w:numPr>
                <w:ilvl w:val="0"/>
                <w:numId w:val="7"/>
              </w:numPr>
              <w:spacing w:after="120" w:line="240" w:lineRule="auto"/>
              <w:ind w:left="144" w:hanging="144"/>
            </w:pPr>
            <w:r w:rsidRPr="00CE6C40">
              <w:rPr>
                <w:bCs/>
                <w:sz w:val="20"/>
                <w:szCs w:val="20"/>
              </w:rPr>
              <w:t>Improve access to community environments</w:t>
            </w:r>
            <w:r w:rsidRPr="00CE6C40">
              <w:rPr>
                <w:sz w:val="20"/>
                <w:szCs w:val="20"/>
              </w:rPr>
              <w:t>, ensuring civil rights of PWD</w:t>
            </w:r>
          </w:p>
          <w:p w:rsidR="00474C78" w:rsidRPr="00CE6C40" w:rsidRDefault="00474C78" w:rsidP="00F9158C">
            <w:pPr>
              <w:pStyle w:val="ListParagraph"/>
              <w:numPr>
                <w:ilvl w:val="0"/>
                <w:numId w:val="7"/>
              </w:numPr>
              <w:spacing w:after="120" w:line="240" w:lineRule="auto"/>
              <w:ind w:left="144" w:hanging="144"/>
            </w:pPr>
            <w:r>
              <w:rPr>
                <w:sz w:val="20"/>
                <w:szCs w:val="20"/>
              </w:rPr>
              <w:t>Improve comm. Planning to optimize resilience of PWP (EP)</w:t>
            </w:r>
          </w:p>
        </w:tc>
        <w:tc>
          <w:tcPr>
            <w:tcW w:w="78" w:type="dxa"/>
            <w:tcBorders>
              <w:top w:val="outset" w:sz="6" w:space="0" w:color="111111"/>
              <w:left w:val="outset" w:sz="6" w:space="0" w:color="111111"/>
              <w:bottom w:val="outset" w:sz="6" w:space="0" w:color="111111"/>
              <w:right w:val="outset" w:sz="6" w:space="0" w:color="111111"/>
            </w:tcBorders>
            <w:hideMark/>
          </w:tcPr>
          <w:p w:rsidR="00474C78" w:rsidRPr="00AD62D3" w:rsidRDefault="00474C78" w:rsidP="004D441E">
            <w:pPr>
              <w:spacing w:line="240" w:lineRule="auto"/>
              <w:jc w:val="center"/>
              <w:rPr>
                <w:rFonts w:cstheme="minorHAnsi"/>
                <w:sz w:val="24"/>
                <w:szCs w:val="24"/>
              </w:rPr>
            </w:pPr>
            <w:r w:rsidRPr="00AD62D3">
              <w:rPr>
                <w:rFonts w:cstheme="minorHAnsi"/>
              </w:rPr>
              <w:t> </w:t>
            </w:r>
          </w:p>
        </w:tc>
        <w:tc>
          <w:tcPr>
            <w:tcW w:w="1610" w:type="dxa"/>
            <w:tcBorders>
              <w:top w:val="outset" w:sz="6" w:space="0" w:color="111111"/>
              <w:left w:val="outset" w:sz="6" w:space="0" w:color="111111"/>
              <w:bottom w:val="outset" w:sz="6" w:space="0" w:color="111111"/>
              <w:right w:val="outset" w:sz="6" w:space="0" w:color="111111"/>
            </w:tcBorders>
            <w:shd w:val="clear" w:color="auto" w:fill="D3F3FF"/>
            <w:hideMark/>
          </w:tcPr>
          <w:p w:rsidR="00474C78" w:rsidRPr="00AD62D3" w:rsidRDefault="00474C78" w:rsidP="004D441E">
            <w:pPr>
              <w:pStyle w:val="NormalWeb"/>
              <w:spacing w:after="60" w:afterAutospacing="0"/>
              <w:jc w:val="center"/>
              <w:rPr>
                <w:rFonts w:asciiTheme="minorHAnsi" w:hAnsiTheme="minorHAnsi" w:cstheme="minorHAnsi"/>
              </w:rPr>
            </w:pPr>
            <w:r w:rsidRPr="00AD62D3">
              <w:rPr>
                <w:rFonts w:asciiTheme="minorHAnsi" w:hAnsiTheme="minorHAnsi" w:cstheme="minorHAnsi"/>
                <w:b/>
                <w:bCs/>
                <w:sz w:val="20"/>
                <w:szCs w:val="20"/>
              </w:rPr>
              <w:t>↑</w:t>
            </w:r>
          </w:p>
          <w:p w:rsidR="00474C78" w:rsidRPr="00CE6C40" w:rsidRDefault="00E90030" w:rsidP="00F9158C">
            <w:pPr>
              <w:pStyle w:val="ListParagraph"/>
              <w:numPr>
                <w:ilvl w:val="0"/>
                <w:numId w:val="7"/>
              </w:numPr>
              <w:tabs>
                <w:tab w:val="left" w:pos="83"/>
              </w:tabs>
              <w:spacing w:after="120" w:line="240" w:lineRule="auto"/>
              <w:ind w:left="144" w:hanging="144"/>
            </w:pPr>
            <w:r>
              <w:rPr>
                <w:bCs/>
                <w:sz w:val="20"/>
                <w:szCs w:val="20"/>
              </w:rPr>
              <w:t xml:space="preserve"> </w:t>
            </w:r>
            <w:r w:rsidR="00474C78" w:rsidRPr="00CE6C40">
              <w:rPr>
                <w:bCs/>
                <w:sz w:val="20"/>
                <w:szCs w:val="20"/>
              </w:rPr>
              <w:t>Integrate disability and health agenda</w:t>
            </w:r>
            <w:r w:rsidR="00474C78" w:rsidRPr="00CE6C40">
              <w:rPr>
                <w:sz w:val="20"/>
                <w:szCs w:val="20"/>
              </w:rPr>
              <w:t xml:space="preserve"> into public policies that influence the health of PWD</w:t>
            </w:r>
          </w:p>
        </w:tc>
      </w:tr>
    </w:tbl>
    <w:tbl>
      <w:tblPr>
        <w:tblpPr w:leftFromText="187" w:rightFromText="187" w:vertAnchor="text" w:horzAnchor="margin" w:tblpY="2"/>
        <w:tblOverlap w:val="never"/>
        <w:tblW w:w="5044"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688"/>
        <w:gridCol w:w="121"/>
        <w:gridCol w:w="1888"/>
        <w:gridCol w:w="91"/>
        <w:gridCol w:w="1984"/>
        <w:gridCol w:w="91"/>
        <w:gridCol w:w="1916"/>
        <w:gridCol w:w="72"/>
        <w:gridCol w:w="1608"/>
      </w:tblGrid>
      <w:tr w:rsidR="00474C78" w:rsidTr="00D71390">
        <w:trPr>
          <w:trHeight w:val="345"/>
          <w:tblHeader/>
        </w:trPr>
        <w:tc>
          <w:tcPr>
            <w:tcW w:w="5000" w:type="pct"/>
            <w:gridSpan w:val="9"/>
            <w:tcBorders>
              <w:top w:val="outset" w:sz="6" w:space="0" w:color="111111"/>
              <w:left w:val="outset" w:sz="6" w:space="0" w:color="111111"/>
              <w:bottom w:val="outset" w:sz="6" w:space="0" w:color="111111"/>
              <w:right w:val="outset" w:sz="6" w:space="0" w:color="111111"/>
            </w:tcBorders>
            <w:hideMark/>
          </w:tcPr>
          <w:p w:rsidR="00474C78" w:rsidRPr="00FC1AD8" w:rsidRDefault="00474C78" w:rsidP="00FC1AD8">
            <w:pPr>
              <w:spacing w:before="120" w:after="120"/>
              <w:jc w:val="center"/>
              <w:rPr>
                <w:rStyle w:val="Strong"/>
              </w:rPr>
            </w:pPr>
            <w:r w:rsidRPr="00FC1AD8">
              <w:rPr>
                <w:rStyle w:val="Strong"/>
              </w:rPr>
              <w:t>Short Term Outcome Goals</w:t>
            </w:r>
          </w:p>
        </w:tc>
      </w:tr>
      <w:tr w:rsidR="00474C78" w:rsidTr="00D71390">
        <w:tc>
          <w:tcPr>
            <w:tcW w:w="892" w:type="pct"/>
            <w:tcBorders>
              <w:top w:val="outset" w:sz="6" w:space="0" w:color="111111"/>
              <w:left w:val="outset" w:sz="6" w:space="0" w:color="111111"/>
              <w:bottom w:val="outset" w:sz="6" w:space="0" w:color="111111"/>
              <w:right w:val="outset" w:sz="6" w:space="0" w:color="111111"/>
            </w:tcBorders>
            <w:shd w:val="clear" w:color="auto" w:fill="FBD4B4" w:themeFill="accent6" w:themeFillTint="66"/>
            <w:hideMark/>
          </w:tcPr>
          <w:p w:rsidR="00474C78" w:rsidRDefault="00474C78" w:rsidP="004D441E">
            <w:pPr>
              <w:pStyle w:val="NormalWeb"/>
              <w:spacing w:before="0" w:beforeAutospacing="0" w:after="60" w:afterAutospacing="0"/>
              <w:jc w:val="center"/>
              <w:rPr>
                <w:rFonts w:asciiTheme="minorHAnsi" w:hAnsiTheme="minorHAnsi" w:cstheme="minorHAnsi"/>
                <w:b/>
                <w:bCs/>
                <w:sz w:val="20"/>
                <w:szCs w:val="20"/>
              </w:rPr>
            </w:pPr>
            <w:r w:rsidRPr="00AD62D3">
              <w:rPr>
                <w:rFonts w:asciiTheme="minorHAnsi" w:hAnsiTheme="minorHAnsi" w:cstheme="minorHAnsi"/>
                <w:b/>
                <w:bCs/>
                <w:sz w:val="20"/>
                <w:szCs w:val="20"/>
              </w:rPr>
              <w:t>↑</w:t>
            </w:r>
          </w:p>
          <w:p w:rsidR="00474C78" w:rsidRPr="00E90030" w:rsidRDefault="00474C78" w:rsidP="00F9158C">
            <w:pPr>
              <w:pStyle w:val="NormalWeb"/>
              <w:numPr>
                <w:ilvl w:val="0"/>
                <w:numId w:val="44"/>
              </w:numPr>
              <w:tabs>
                <w:tab w:val="left" w:pos="98"/>
                <w:tab w:val="left" w:pos="188"/>
              </w:tabs>
              <w:spacing w:before="0" w:beforeAutospacing="0" w:after="0" w:afterAutospacing="0"/>
              <w:ind w:left="144" w:hanging="144"/>
              <w:rPr>
                <w:rFonts w:ascii="Arial" w:hAnsi="Arial" w:cs="Arial"/>
              </w:rPr>
            </w:pPr>
            <w:r>
              <w:rPr>
                <w:rFonts w:asciiTheme="minorHAnsi" w:hAnsiTheme="minorHAnsi" w:cstheme="minorHAnsi"/>
                <w:sz w:val="20"/>
                <w:szCs w:val="20"/>
              </w:rPr>
              <w:t xml:space="preserve"> </w:t>
            </w:r>
            <w:r w:rsidRPr="00E90030">
              <w:rPr>
                <w:rFonts w:ascii="Arial" w:hAnsi="Arial" w:cs="Arial"/>
                <w:sz w:val="20"/>
                <w:szCs w:val="20"/>
              </w:rPr>
              <w:t>Increase</w:t>
            </w:r>
            <w:r w:rsidRPr="00E90030">
              <w:rPr>
                <w:rFonts w:ascii="Arial" w:hAnsi="Arial" w:cs="Arial"/>
                <w:sz w:val="20"/>
                <w:szCs w:val="20"/>
              </w:rPr>
              <w:br/>
              <w:t> availability of</w:t>
            </w:r>
            <w:r w:rsidRPr="00E90030">
              <w:rPr>
                <w:rFonts w:ascii="Arial" w:hAnsi="Arial" w:cs="Arial"/>
                <w:sz w:val="20"/>
                <w:szCs w:val="20"/>
              </w:rPr>
              <w:br/>
              <w:t> disability and</w:t>
            </w:r>
            <w:r w:rsidRPr="00E90030">
              <w:rPr>
                <w:rFonts w:ascii="Arial" w:hAnsi="Arial" w:cs="Arial"/>
                <w:sz w:val="20"/>
                <w:szCs w:val="20"/>
              </w:rPr>
              <w:br/>
              <w:t> health data</w:t>
            </w:r>
          </w:p>
          <w:p w:rsidR="00474C78" w:rsidRPr="00E90030" w:rsidRDefault="008D2ED6" w:rsidP="00F9158C">
            <w:pPr>
              <w:pStyle w:val="NormalWeb"/>
              <w:numPr>
                <w:ilvl w:val="0"/>
                <w:numId w:val="44"/>
              </w:numPr>
              <w:ind w:left="144" w:hanging="144"/>
              <w:rPr>
                <w:rFonts w:ascii="Arial" w:hAnsi="Arial" w:cs="Arial"/>
              </w:rPr>
            </w:pPr>
            <w:r w:rsidRPr="00E90030">
              <w:rPr>
                <w:rFonts w:ascii="Arial" w:hAnsi="Arial" w:cs="Arial"/>
                <w:sz w:val="20"/>
                <w:szCs w:val="20"/>
              </w:rPr>
              <w:t xml:space="preserve">Educate partners about disability and </w:t>
            </w:r>
            <w:r w:rsidR="00474C78" w:rsidRPr="00E90030">
              <w:rPr>
                <w:rFonts w:ascii="Arial" w:hAnsi="Arial" w:cs="Arial"/>
                <w:sz w:val="20"/>
                <w:szCs w:val="20"/>
              </w:rPr>
              <w:t>health issues</w:t>
            </w:r>
          </w:p>
          <w:p w:rsidR="00474C78" w:rsidRPr="00AD62D3" w:rsidRDefault="00474C78" w:rsidP="00F9158C">
            <w:pPr>
              <w:pStyle w:val="NormalWeb"/>
              <w:numPr>
                <w:ilvl w:val="0"/>
                <w:numId w:val="44"/>
              </w:numPr>
              <w:ind w:left="144" w:hanging="144"/>
              <w:rPr>
                <w:rFonts w:asciiTheme="minorHAnsi" w:hAnsiTheme="minorHAnsi" w:cstheme="minorHAnsi"/>
              </w:rPr>
            </w:pPr>
            <w:r w:rsidRPr="00E90030">
              <w:rPr>
                <w:rFonts w:ascii="Arial" w:hAnsi="Arial" w:cs="Arial"/>
                <w:sz w:val="20"/>
                <w:szCs w:val="20"/>
              </w:rPr>
              <w:t>Additional funding</w:t>
            </w:r>
          </w:p>
        </w:tc>
        <w:tc>
          <w:tcPr>
            <w:tcW w:w="64" w:type="pct"/>
            <w:tcBorders>
              <w:top w:val="outset" w:sz="6" w:space="0" w:color="111111"/>
              <w:left w:val="outset" w:sz="6" w:space="0" w:color="111111"/>
              <w:bottom w:val="outset" w:sz="6" w:space="0" w:color="111111"/>
              <w:right w:val="outset" w:sz="6" w:space="0" w:color="111111"/>
            </w:tcBorders>
            <w:shd w:val="clear" w:color="auto" w:fill="FFFFFF" w:themeFill="background1"/>
            <w:hideMark/>
          </w:tcPr>
          <w:p w:rsidR="00474C78" w:rsidRPr="00AD62D3" w:rsidRDefault="00474C78" w:rsidP="004D441E">
            <w:pPr>
              <w:jc w:val="center"/>
              <w:rPr>
                <w:rFonts w:cstheme="minorHAnsi"/>
                <w:sz w:val="24"/>
                <w:szCs w:val="24"/>
              </w:rPr>
            </w:pPr>
            <w:r w:rsidRPr="00AD62D3">
              <w:rPr>
                <w:rFonts w:cstheme="minorHAnsi"/>
              </w:rPr>
              <w:t> </w:t>
            </w:r>
          </w:p>
        </w:tc>
        <w:tc>
          <w:tcPr>
            <w:tcW w:w="998" w:type="pct"/>
            <w:tcBorders>
              <w:top w:val="outset" w:sz="6" w:space="0" w:color="111111"/>
              <w:left w:val="outset" w:sz="6" w:space="0" w:color="111111"/>
              <w:bottom w:val="outset" w:sz="6" w:space="0" w:color="111111"/>
              <w:right w:val="outset" w:sz="6" w:space="0" w:color="111111"/>
            </w:tcBorders>
            <w:shd w:val="clear" w:color="auto" w:fill="FBD4B4" w:themeFill="accent6" w:themeFillTint="66"/>
            <w:hideMark/>
          </w:tcPr>
          <w:p w:rsidR="00474C78" w:rsidRDefault="00474C78" w:rsidP="004D441E">
            <w:pPr>
              <w:pStyle w:val="NormalWeb"/>
              <w:spacing w:before="0" w:beforeAutospacing="0" w:after="60" w:afterAutospacing="0"/>
              <w:jc w:val="center"/>
              <w:rPr>
                <w:rFonts w:asciiTheme="minorHAnsi" w:hAnsiTheme="minorHAnsi" w:cstheme="minorHAnsi"/>
                <w:sz w:val="20"/>
                <w:szCs w:val="20"/>
              </w:rPr>
            </w:pPr>
            <w:r w:rsidRPr="00AD62D3">
              <w:rPr>
                <w:rFonts w:asciiTheme="minorHAnsi" w:hAnsiTheme="minorHAnsi" w:cstheme="minorHAnsi"/>
                <w:b/>
                <w:bCs/>
                <w:sz w:val="20"/>
                <w:szCs w:val="20"/>
              </w:rPr>
              <w:t>↑</w:t>
            </w:r>
            <w:r>
              <w:rPr>
                <w:rFonts w:asciiTheme="minorHAnsi" w:hAnsiTheme="minorHAnsi" w:cstheme="minorHAnsi"/>
                <w:sz w:val="20"/>
                <w:szCs w:val="20"/>
              </w:rPr>
              <w:t xml:space="preserve"> </w:t>
            </w:r>
          </w:p>
          <w:p w:rsidR="00474C78" w:rsidRPr="00E90030" w:rsidRDefault="00E90030" w:rsidP="00F9158C">
            <w:pPr>
              <w:pStyle w:val="NormalWeb"/>
              <w:numPr>
                <w:ilvl w:val="0"/>
                <w:numId w:val="45"/>
              </w:numPr>
              <w:tabs>
                <w:tab w:val="left" w:pos="120"/>
                <w:tab w:val="left" w:pos="390"/>
              </w:tabs>
              <w:spacing w:before="0" w:beforeAutospacing="0" w:after="0" w:afterAutospacing="0"/>
              <w:ind w:left="144" w:hanging="144"/>
              <w:rPr>
                <w:rFonts w:ascii="Arial" w:hAnsi="Arial" w:cs="Arial"/>
              </w:rPr>
            </w:pPr>
            <w:r>
              <w:rPr>
                <w:rFonts w:ascii="Arial" w:hAnsi="Arial" w:cs="Arial"/>
                <w:sz w:val="20"/>
                <w:szCs w:val="20"/>
              </w:rPr>
              <w:t xml:space="preserve"> </w:t>
            </w:r>
            <w:r w:rsidR="00474C78" w:rsidRPr="00E90030">
              <w:rPr>
                <w:rFonts w:ascii="Arial" w:hAnsi="Arial" w:cs="Arial"/>
                <w:sz w:val="20"/>
                <w:szCs w:val="20"/>
              </w:rPr>
              <w:t>Train partners to</w:t>
            </w:r>
            <w:r w:rsidR="00474C78" w:rsidRPr="00E90030">
              <w:rPr>
                <w:rFonts w:ascii="Arial" w:hAnsi="Arial" w:cs="Arial"/>
                <w:sz w:val="20"/>
                <w:szCs w:val="20"/>
              </w:rPr>
              <w:br/>
              <w:t>implement programs and provide services</w:t>
            </w:r>
            <w:r w:rsidR="00474C78" w:rsidRPr="00E90030">
              <w:rPr>
                <w:rFonts w:ascii="Arial" w:hAnsi="Arial" w:cs="Arial"/>
                <w:sz w:val="20"/>
                <w:szCs w:val="20"/>
              </w:rPr>
              <w:br/>
              <w:t xml:space="preserve">(such as </w:t>
            </w:r>
            <w:r w:rsidR="00474C78" w:rsidRPr="00E90030">
              <w:rPr>
                <w:rFonts w:ascii="Arial" w:hAnsi="Arial" w:cs="Arial"/>
                <w:i/>
                <w:iCs/>
                <w:sz w:val="20"/>
                <w:szCs w:val="20"/>
              </w:rPr>
              <w:t>Living Well  with a Disability</w:t>
            </w:r>
            <w:r w:rsidR="00474C78" w:rsidRPr="00E90030">
              <w:rPr>
                <w:rFonts w:ascii="Arial" w:hAnsi="Arial" w:cs="Arial"/>
                <w:sz w:val="20"/>
                <w:szCs w:val="20"/>
              </w:rPr>
              <w:t>)</w:t>
            </w:r>
          </w:p>
          <w:p w:rsidR="00474C78" w:rsidRPr="00AD62D3" w:rsidRDefault="00474C78" w:rsidP="00F9158C">
            <w:pPr>
              <w:pStyle w:val="NormalWeb"/>
              <w:numPr>
                <w:ilvl w:val="0"/>
                <w:numId w:val="45"/>
              </w:numPr>
              <w:spacing w:before="0" w:beforeAutospacing="0" w:after="0" w:afterAutospacing="0"/>
              <w:ind w:left="144" w:hanging="144"/>
              <w:rPr>
                <w:rFonts w:asciiTheme="minorHAnsi" w:hAnsiTheme="minorHAnsi" w:cstheme="minorHAnsi"/>
              </w:rPr>
            </w:pPr>
            <w:r w:rsidRPr="00E90030">
              <w:rPr>
                <w:rFonts w:ascii="Arial" w:hAnsi="Arial" w:cs="Arial"/>
                <w:sz w:val="20"/>
                <w:szCs w:val="20"/>
              </w:rPr>
              <w:t>Support peer mentoring programs (such as H</w:t>
            </w:r>
            <w:r w:rsidRPr="00E90030">
              <w:rPr>
                <w:rFonts w:ascii="Arial" w:hAnsi="Arial" w:cs="Arial"/>
                <w:i/>
                <w:iCs/>
                <w:sz w:val="20"/>
                <w:szCs w:val="20"/>
              </w:rPr>
              <w:t>ave Healthy Teeth</w:t>
            </w:r>
            <w:r w:rsidRPr="00E90030">
              <w:rPr>
                <w:rFonts w:ascii="Arial" w:hAnsi="Arial" w:cs="Arial"/>
                <w:sz w:val="20"/>
                <w:szCs w:val="20"/>
              </w:rPr>
              <w:t>)</w:t>
            </w:r>
          </w:p>
        </w:tc>
        <w:tc>
          <w:tcPr>
            <w:tcW w:w="48" w:type="pct"/>
            <w:tcBorders>
              <w:top w:val="outset" w:sz="6" w:space="0" w:color="111111"/>
              <w:left w:val="outset" w:sz="6" w:space="0" w:color="111111"/>
              <w:bottom w:val="outset" w:sz="6" w:space="0" w:color="111111"/>
              <w:right w:val="outset" w:sz="6" w:space="0" w:color="111111"/>
            </w:tcBorders>
            <w:shd w:val="clear" w:color="auto" w:fill="FFFFFF" w:themeFill="background1"/>
            <w:hideMark/>
          </w:tcPr>
          <w:p w:rsidR="00474C78" w:rsidRPr="00AD62D3" w:rsidRDefault="00474C78" w:rsidP="004D441E">
            <w:pPr>
              <w:jc w:val="center"/>
              <w:rPr>
                <w:rFonts w:cstheme="minorHAnsi"/>
                <w:sz w:val="24"/>
                <w:szCs w:val="24"/>
              </w:rPr>
            </w:pPr>
            <w:r w:rsidRPr="00AD62D3">
              <w:rPr>
                <w:rFonts w:cstheme="minorHAnsi"/>
              </w:rPr>
              <w:t> </w:t>
            </w:r>
          </w:p>
        </w:tc>
        <w:tc>
          <w:tcPr>
            <w:tcW w:w="1049" w:type="pct"/>
            <w:tcBorders>
              <w:top w:val="outset" w:sz="6" w:space="0" w:color="111111"/>
              <w:left w:val="outset" w:sz="6" w:space="0" w:color="111111"/>
              <w:bottom w:val="outset" w:sz="6" w:space="0" w:color="111111"/>
              <w:right w:val="outset" w:sz="6" w:space="0" w:color="111111"/>
            </w:tcBorders>
            <w:shd w:val="clear" w:color="auto" w:fill="FBD4B4" w:themeFill="accent6" w:themeFillTint="66"/>
            <w:hideMark/>
          </w:tcPr>
          <w:p w:rsidR="00474C78" w:rsidRDefault="00474C78" w:rsidP="004D441E">
            <w:pPr>
              <w:pStyle w:val="NormalWeb"/>
              <w:spacing w:before="0" w:beforeAutospacing="0" w:afterAutospacing="0"/>
              <w:jc w:val="center"/>
              <w:rPr>
                <w:rFonts w:asciiTheme="minorHAnsi" w:hAnsiTheme="minorHAnsi" w:cstheme="minorHAnsi"/>
                <w:sz w:val="20"/>
                <w:szCs w:val="20"/>
              </w:rPr>
            </w:pPr>
            <w:r w:rsidRPr="00AD62D3">
              <w:rPr>
                <w:rFonts w:asciiTheme="minorHAnsi" w:hAnsiTheme="minorHAnsi" w:cstheme="minorHAnsi"/>
                <w:b/>
                <w:bCs/>
                <w:sz w:val="20"/>
                <w:szCs w:val="20"/>
              </w:rPr>
              <w:t>↑</w:t>
            </w:r>
            <w:r>
              <w:rPr>
                <w:rFonts w:asciiTheme="minorHAnsi" w:hAnsiTheme="minorHAnsi" w:cstheme="minorHAnsi"/>
                <w:sz w:val="20"/>
                <w:szCs w:val="20"/>
              </w:rPr>
              <w:t xml:space="preserve">  </w:t>
            </w:r>
          </w:p>
          <w:p w:rsidR="00474C78" w:rsidRPr="00E90030" w:rsidRDefault="00474C78" w:rsidP="00F9158C">
            <w:pPr>
              <w:pStyle w:val="NormalWeb"/>
              <w:numPr>
                <w:ilvl w:val="0"/>
                <w:numId w:val="46"/>
              </w:numPr>
              <w:tabs>
                <w:tab w:val="left" w:pos="90"/>
                <w:tab w:val="left" w:pos="195"/>
              </w:tabs>
              <w:spacing w:before="0" w:beforeAutospacing="0" w:after="0" w:afterAutospacing="0"/>
              <w:ind w:left="144" w:hanging="144"/>
              <w:rPr>
                <w:rFonts w:ascii="Arial" w:hAnsi="Arial" w:cs="Arial"/>
                <w:sz w:val="20"/>
                <w:szCs w:val="20"/>
              </w:rPr>
            </w:pPr>
            <w:r w:rsidRPr="00E90030">
              <w:rPr>
                <w:rFonts w:ascii="Arial" w:hAnsi="Arial" w:cs="Arial"/>
                <w:sz w:val="20"/>
                <w:szCs w:val="20"/>
              </w:rPr>
              <w:t>Increase awareness</w:t>
            </w:r>
          </w:p>
          <w:p w:rsidR="00474C78" w:rsidRPr="00E90030" w:rsidRDefault="00474C78" w:rsidP="009158D0">
            <w:pPr>
              <w:pStyle w:val="NormalWeb"/>
              <w:tabs>
                <w:tab w:val="left" w:pos="180"/>
              </w:tabs>
              <w:spacing w:before="0" w:beforeAutospacing="0" w:after="0" w:afterAutospacing="0"/>
              <w:ind w:left="144"/>
              <w:rPr>
                <w:rFonts w:ascii="Arial" w:hAnsi="Arial" w:cs="Arial"/>
                <w:sz w:val="20"/>
                <w:szCs w:val="20"/>
              </w:rPr>
            </w:pPr>
            <w:r w:rsidRPr="00E90030">
              <w:rPr>
                <w:rFonts w:ascii="Arial" w:hAnsi="Arial" w:cs="Arial"/>
                <w:sz w:val="20"/>
                <w:szCs w:val="20"/>
              </w:rPr>
              <w:t>of</w:t>
            </w:r>
            <w:r w:rsidR="009158D0" w:rsidRPr="00E90030">
              <w:rPr>
                <w:rFonts w:ascii="Arial" w:hAnsi="Arial" w:cs="Arial"/>
                <w:sz w:val="20"/>
                <w:szCs w:val="20"/>
              </w:rPr>
              <w:t xml:space="preserve"> public health</w:t>
            </w:r>
            <w:r w:rsidR="009158D0" w:rsidRPr="00E90030">
              <w:rPr>
                <w:rFonts w:ascii="Arial" w:hAnsi="Arial" w:cs="Arial"/>
                <w:sz w:val="20"/>
                <w:szCs w:val="20"/>
              </w:rPr>
              <w:br/>
              <w:t>partners about</w:t>
            </w:r>
            <w:r w:rsidR="009158D0" w:rsidRPr="00E90030">
              <w:rPr>
                <w:rFonts w:ascii="Arial" w:hAnsi="Arial" w:cs="Arial"/>
                <w:sz w:val="20"/>
                <w:szCs w:val="20"/>
              </w:rPr>
              <w:br/>
            </w:r>
            <w:r w:rsidRPr="00E90030">
              <w:rPr>
                <w:rFonts w:ascii="Arial" w:hAnsi="Arial" w:cs="Arial"/>
                <w:sz w:val="20"/>
                <w:szCs w:val="20"/>
              </w:rPr>
              <w:t xml:space="preserve">barriers </w:t>
            </w:r>
            <w:r w:rsidR="009158D0" w:rsidRPr="00E90030">
              <w:rPr>
                <w:rFonts w:ascii="Arial" w:hAnsi="Arial" w:cs="Arial"/>
                <w:sz w:val="20"/>
                <w:szCs w:val="20"/>
              </w:rPr>
              <w:t xml:space="preserve"> experienced by  </w:t>
            </w:r>
            <w:r w:rsidRPr="00E90030">
              <w:rPr>
                <w:rFonts w:ascii="Arial" w:hAnsi="Arial" w:cs="Arial"/>
                <w:sz w:val="20"/>
                <w:szCs w:val="20"/>
              </w:rPr>
              <w:t xml:space="preserve">PWP. </w:t>
            </w:r>
          </w:p>
          <w:p w:rsidR="00474C78" w:rsidRPr="00E90030" w:rsidRDefault="00474C78" w:rsidP="00F9158C">
            <w:pPr>
              <w:pStyle w:val="NormalWeb"/>
              <w:numPr>
                <w:ilvl w:val="0"/>
                <w:numId w:val="46"/>
              </w:numPr>
              <w:tabs>
                <w:tab w:val="left" w:pos="88"/>
              </w:tabs>
              <w:spacing w:before="0" w:beforeAutospacing="0" w:after="0" w:afterAutospacing="0"/>
              <w:ind w:left="144" w:hanging="144"/>
              <w:rPr>
                <w:rFonts w:ascii="Arial" w:hAnsi="Arial" w:cs="Arial"/>
                <w:sz w:val="20"/>
                <w:szCs w:val="20"/>
              </w:rPr>
            </w:pPr>
            <w:r w:rsidRPr="00E90030">
              <w:rPr>
                <w:rFonts w:ascii="Arial" w:hAnsi="Arial" w:cs="Arial"/>
                <w:sz w:val="20"/>
                <w:szCs w:val="20"/>
              </w:rPr>
              <w:t>Increase</w:t>
            </w:r>
            <w:r w:rsidR="008D2ED6" w:rsidRPr="00E90030">
              <w:rPr>
                <w:rFonts w:ascii="Arial" w:hAnsi="Arial" w:cs="Arial"/>
                <w:sz w:val="20"/>
                <w:szCs w:val="20"/>
              </w:rPr>
              <w:t xml:space="preserve"> awareness</w:t>
            </w:r>
            <w:r w:rsidR="008D2ED6" w:rsidRPr="00E90030">
              <w:rPr>
                <w:rFonts w:ascii="Arial" w:hAnsi="Arial" w:cs="Arial"/>
                <w:sz w:val="20"/>
                <w:szCs w:val="20"/>
              </w:rPr>
              <w:br/>
            </w:r>
            <w:r w:rsidRPr="00E90030">
              <w:rPr>
                <w:rFonts w:ascii="Arial" w:hAnsi="Arial" w:cs="Arial"/>
                <w:sz w:val="20"/>
                <w:szCs w:val="20"/>
              </w:rPr>
              <w:t>of</w:t>
            </w:r>
            <w:r w:rsidR="008D2ED6" w:rsidRPr="00E90030">
              <w:rPr>
                <w:rFonts w:ascii="Arial" w:hAnsi="Arial" w:cs="Arial"/>
                <w:sz w:val="20"/>
                <w:szCs w:val="20"/>
              </w:rPr>
              <w:t xml:space="preserve"> PWD regarding</w:t>
            </w:r>
            <w:r w:rsidR="008D2ED6" w:rsidRPr="00E90030">
              <w:rPr>
                <w:rFonts w:ascii="Arial" w:hAnsi="Arial" w:cs="Arial"/>
                <w:sz w:val="20"/>
                <w:szCs w:val="20"/>
              </w:rPr>
              <w:br/>
            </w:r>
            <w:r w:rsidRPr="00E90030">
              <w:rPr>
                <w:rFonts w:ascii="Arial" w:hAnsi="Arial" w:cs="Arial"/>
                <w:sz w:val="20"/>
                <w:szCs w:val="20"/>
              </w:rPr>
              <w:t>the benefits</w:t>
            </w:r>
            <w:r w:rsidR="008D2ED6" w:rsidRPr="00E90030">
              <w:rPr>
                <w:rFonts w:ascii="Arial" w:hAnsi="Arial" w:cs="Arial"/>
                <w:sz w:val="20"/>
                <w:szCs w:val="20"/>
              </w:rPr>
              <w:t xml:space="preserve"> of</w:t>
            </w:r>
            <w:r w:rsidR="008D2ED6" w:rsidRPr="00E90030">
              <w:rPr>
                <w:rFonts w:ascii="Arial" w:hAnsi="Arial" w:cs="Arial"/>
                <w:sz w:val="20"/>
                <w:szCs w:val="20"/>
              </w:rPr>
              <w:br/>
            </w:r>
            <w:r w:rsidRPr="00E90030">
              <w:rPr>
                <w:rFonts w:ascii="Arial" w:hAnsi="Arial" w:cs="Arial"/>
                <w:sz w:val="20"/>
                <w:szCs w:val="20"/>
              </w:rPr>
              <w:t>generic services.</w:t>
            </w:r>
          </w:p>
          <w:p w:rsidR="00474C78" w:rsidRPr="00AD62D3" w:rsidRDefault="00474C78" w:rsidP="00F9158C">
            <w:pPr>
              <w:pStyle w:val="NormalWeb"/>
              <w:numPr>
                <w:ilvl w:val="0"/>
                <w:numId w:val="46"/>
              </w:numPr>
              <w:tabs>
                <w:tab w:val="left" w:pos="88"/>
              </w:tabs>
              <w:spacing w:before="0" w:beforeAutospacing="0" w:after="0" w:afterAutospacing="0"/>
              <w:ind w:left="144" w:hanging="144"/>
              <w:rPr>
                <w:rFonts w:asciiTheme="minorHAnsi" w:hAnsiTheme="minorHAnsi" w:cstheme="minorHAnsi"/>
              </w:rPr>
            </w:pPr>
            <w:r w:rsidRPr="00E90030">
              <w:rPr>
                <w:rFonts w:ascii="Arial" w:hAnsi="Arial" w:cs="Arial"/>
                <w:sz w:val="20"/>
                <w:szCs w:val="20"/>
              </w:rPr>
              <w:t>Support removal</w:t>
            </w:r>
            <w:r w:rsidRPr="00E90030">
              <w:rPr>
                <w:rFonts w:ascii="Arial" w:hAnsi="Arial" w:cs="Arial"/>
                <w:sz w:val="20"/>
                <w:szCs w:val="20"/>
              </w:rPr>
              <w:br/>
              <w:t> of barriers</w:t>
            </w:r>
          </w:p>
        </w:tc>
        <w:tc>
          <w:tcPr>
            <w:tcW w:w="48" w:type="pct"/>
            <w:tcBorders>
              <w:top w:val="outset" w:sz="6" w:space="0" w:color="111111"/>
              <w:left w:val="outset" w:sz="6" w:space="0" w:color="111111"/>
              <w:bottom w:val="outset" w:sz="6" w:space="0" w:color="111111"/>
              <w:right w:val="outset" w:sz="6" w:space="0" w:color="111111"/>
            </w:tcBorders>
            <w:shd w:val="clear" w:color="auto" w:fill="FFFFFF" w:themeFill="background1"/>
            <w:hideMark/>
          </w:tcPr>
          <w:p w:rsidR="00474C78" w:rsidRPr="00AD62D3" w:rsidRDefault="00474C78" w:rsidP="004D441E">
            <w:pPr>
              <w:jc w:val="center"/>
              <w:rPr>
                <w:rFonts w:cstheme="minorHAnsi"/>
                <w:sz w:val="24"/>
                <w:szCs w:val="24"/>
              </w:rPr>
            </w:pPr>
            <w:r w:rsidRPr="00AD62D3">
              <w:rPr>
                <w:rFonts w:cstheme="minorHAnsi"/>
              </w:rPr>
              <w:t> </w:t>
            </w:r>
          </w:p>
        </w:tc>
        <w:tc>
          <w:tcPr>
            <w:tcW w:w="1013" w:type="pct"/>
            <w:tcBorders>
              <w:top w:val="outset" w:sz="6" w:space="0" w:color="111111"/>
              <w:left w:val="outset" w:sz="6" w:space="0" w:color="111111"/>
              <w:bottom w:val="outset" w:sz="6" w:space="0" w:color="111111"/>
              <w:right w:val="outset" w:sz="6" w:space="0" w:color="111111"/>
            </w:tcBorders>
            <w:shd w:val="clear" w:color="auto" w:fill="FBD4B4" w:themeFill="accent6" w:themeFillTint="66"/>
            <w:hideMark/>
          </w:tcPr>
          <w:p w:rsidR="00474C78" w:rsidRDefault="00474C78" w:rsidP="004D441E">
            <w:pPr>
              <w:pStyle w:val="NormalWeb"/>
              <w:spacing w:before="0" w:beforeAutospacing="0" w:afterAutospacing="0"/>
              <w:jc w:val="center"/>
              <w:rPr>
                <w:rFonts w:asciiTheme="minorHAnsi" w:hAnsiTheme="minorHAnsi" w:cstheme="minorHAnsi"/>
                <w:sz w:val="20"/>
                <w:szCs w:val="20"/>
              </w:rPr>
            </w:pPr>
            <w:r w:rsidRPr="00AD62D3">
              <w:rPr>
                <w:rFonts w:asciiTheme="minorHAnsi" w:hAnsiTheme="minorHAnsi" w:cstheme="minorHAnsi"/>
                <w:b/>
                <w:bCs/>
                <w:sz w:val="20"/>
                <w:szCs w:val="20"/>
              </w:rPr>
              <w:t>↑</w:t>
            </w:r>
            <w:r>
              <w:rPr>
                <w:rFonts w:asciiTheme="minorHAnsi" w:hAnsiTheme="minorHAnsi" w:cstheme="minorHAnsi"/>
                <w:sz w:val="20"/>
                <w:szCs w:val="20"/>
              </w:rPr>
              <w:t xml:space="preserve">  </w:t>
            </w:r>
          </w:p>
          <w:p w:rsidR="00474C78" w:rsidRPr="00E90030" w:rsidRDefault="00474C78" w:rsidP="00F9158C">
            <w:pPr>
              <w:pStyle w:val="NormalWeb"/>
              <w:numPr>
                <w:ilvl w:val="0"/>
                <w:numId w:val="47"/>
              </w:numPr>
              <w:spacing w:before="0" w:beforeAutospacing="0" w:after="0" w:afterAutospacing="0"/>
              <w:ind w:left="144" w:hanging="144"/>
              <w:rPr>
                <w:rFonts w:ascii="Arial" w:hAnsi="Arial" w:cs="Arial"/>
                <w:sz w:val="20"/>
                <w:szCs w:val="20"/>
              </w:rPr>
            </w:pPr>
            <w:r w:rsidRPr="00E90030">
              <w:rPr>
                <w:rFonts w:ascii="Arial" w:hAnsi="Arial" w:cs="Arial"/>
                <w:sz w:val="20"/>
                <w:szCs w:val="20"/>
              </w:rPr>
              <w:t>Increase community awareness of barriers experienced by PWD.</w:t>
            </w:r>
          </w:p>
          <w:p w:rsidR="00474C78" w:rsidRPr="00E90030" w:rsidRDefault="009158D0" w:rsidP="00F9158C">
            <w:pPr>
              <w:pStyle w:val="NormalWeb"/>
              <w:numPr>
                <w:ilvl w:val="0"/>
                <w:numId w:val="47"/>
              </w:numPr>
              <w:tabs>
                <w:tab w:val="left" w:pos="112"/>
                <w:tab w:val="left" w:pos="460"/>
              </w:tabs>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w:t>
            </w:r>
            <w:r w:rsidR="00474C78" w:rsidRPr="00E90030">
              <w:rPr>
                <w:rFonts w:ascii="Arial" w:hAnsi="Arial" w:cs="Arial"/>
                <w:sz w:val="20"/>
                <w:szCs w:val="20"/>
              </w:rPr>
              <w:t>Support removal</w:t>
            </w:r>
            <w:r w:rsidR="00474C78" w:rsidRPr="00E90030">
              <w:rPr>
                <w:rFonts w:ascii="Arial" w:hAnsi="Arial" w:cs="Arial"/>
                <w:sz w:val="20"/>
                <w:szCs w:val="20"/>
              </w:rPr>
              <w:br/>
              <w:t>of barriers</w:t>
            </w:r>
          </w:p>
        </w:tc>
        <w:tc>
          <w:tcPr>
            <w:tcW w:w="38" w:type="pct"/>
            <w:tcBorders>
              <w:top w:val="outset" w:sz="6" w:space="0" w:color="111111"/>
              <w:left w:val="outset" w:sz="6" w:space="0" w:color="111111"/>
              <w:bottom w:val="outset" w:sz="6" w:space="0" w:color="111111"/>
              <w:right w:val="outset" w:sz="6" w:space="0" w:color="111111"/>
            </w:tcBorders>
            <w:shd w:val="clear" w:color="auto" w:fill="FFFFFF" w:themeFill="background1"/>
            <w:hideMark/>
          </w:tcPr>
          <w:p w:rsidR="00474C78" w:rsidRPr="00AD62D3" w:rsidRDefault="00474C78" w:rsidP="004D441E">
            <w:pPr>
              <w:jc w:val="center"/>
              <w:rPr>
                <w:rFonts w:cstheme="minorHAnsi"/>
                <w:sz w:val="24"/>
                <w:szCs w:val="24"/>
              </w:rPr>
            </w:pPr>
          </w:p>
        </w:tc>
        <w:tc>
          <w:tcPr>
            <w:tcW w:w="850" w:type="pct"/>
            <w:tcBorders>
              <w:top w:val="outset" w:sz="6" w:space="0" w:color="111111"/>
              <w:left w:val="outset" w:sz="6" w:space="0" w:color="111111"/>
              <w:bottom w:val="outset" w:sz="6" w:space="0" w:color="111111"/>
              <w:right w:val="outset" w:sz="6" w:space="0" w:color="111111"/>
            </w:tcBorders>
            <w:shd w:val="clear" w:color="auto" w:fill="FBD4B4" w:themeFill="accent6" w:themeFillTint="66"/>
            <w:hideMark/>
          </w:tcPr>
          <w:p w:rsidR="00474C78" w:rsidRDefault="00474C78" w:rsidP="004D441E">
            <w:pPr>
              <w:pStyle w:val="NormalWeb"/>
              <w:spacing w:before="0" w:beforeAutospacing="0" w:after="0" w:afterAutospacing="0"/>
              <w:jc w:val="center"/>
              <w:rPr>
                <w:rFonts w:asciiTheme="minorHAnsi" w:hAnsiTheme="minorHAnsi" w:cstheme="minorHAnsi"/>
                <w:sz w:val="20"/>
                <w:szCs w:val="20"/>
              </w:rPr>
            </w:pPr>
            <w:r w:rsidRPr="00AD62D3">
              <w:rPr>
                <w:rFonts w:asciiTheme="minorHAnsi" w:hAnsiTheme="minorHAnsi" w:cstheme="minorHAnsi"/>
                <w:b/>
                <w:bCs/>
                <w:sz w:val="20"/>
                <w:szCs w:val="20"/>
              </w:rPr>
              <w:t>↑</w:t>
            </w:r>
            <w:r>
              <w:rPr>
                <w:rFonts w:asciiTheme="minorHAnsi" w:hAnsiTheme="minorHAnsi" w:cstheme="minorHAnsi"/>
                <w:sz w:val="20"/>
                <w:szCs w:val="20"/>
              </w:rPr>
              <w:t xml:space="preserve">  </w:t>
            </w:r>
          </w:p>
          <w:p w:rsidR="00474C78" w:rsidRPr="00E90030" w:rsidRDefault="00474C78" w:rsidP="00F9158C">
            <w:pPr>
              <w:pStyle w:val="NormalWeb"/>
              <w:numPr>
                <w:ilvl w:val="0"/>
                <w:numId w:val="48"/>
              </w:numPr>
              <w:tabs>
                <w:tab w:val="left" w:pos="248"/>
                <w:tab w:val="left" w:pos="353"/>
              </w:tabs>
              <w:spacing w:before="0" w:beforeAutospacing="0" w:after="0" w:afterAutospacing="0"/>
              <w:ind w:left="144" w:hanging="144"/>
              <w:rPr>
                <w:rFonts w:ascii="Arial" w:hAnsi="Arial" w:cs="Arial"/>
              </w:rPr>
            </w:pPr>
            <w:r w:rsidRPr="00E90030">
              <w:rPr>
                <w:rFonts w:ascii="Arial" w:hAnsi="Arial" w:cs="Arial"/>
                <w:sz w:val="20"/>
                <w:szCs w:val="20"/>
              </w:rPr>
              <w:t>Educate policy</w:t>
            </w:r>
            <w:r w:rsidRPr="00E90030">
              <w:rPr>
                <w:rFonts w:ascii="Arial" w:hAnsi="Arial" w:cs="Arial"/>
                <w:sz w:val="20"/>
                <w:szCs w:val="20"/>
              </w:rPr>
              <w:br/>
              <w:t>  professionals</w:t>
            </w:r>
          </w:p>
          <w:p w:rsidR="00474C78" w:rsidRPr="00E90030" w:rsidRDefault="00474C78" w:rsidP="00F9158C">
            <w:pPr>
              <w:pStyle w:val="NormalWeb"/>
              <w:numPr>
                <w:ilvl w:val="0"/>
                <w:numId w:val="48"/>
              </w:numPr>
              <w:spacing w:before="0" w:beforeAutospacing="0" w:after="0" w:afterAutospacing="0"/>
              <w:ind w:left="144" w:hanging="144"/>
              <w:rPr>
                <w:rFonts w:ascii="Arial" w:hAnsi="Arial" w:cs="Arial"/>
              </w:rPr>
            </w:pPr>
            <w:r w:rsidRPr="00E90030">
              <w:rPr>
                <w:rFonts w:ascii="Arial" w:hAnsi="Arial" w:cs="Arial"/>
                <w:sz w:val="20"/>
                <w:szCs w:val="20"/>
              </w:rPr>
              <w:t>Partner with</w:t>
            </w:r>
            <w:r w:rsidRPr="00E90030">
              <w:rPr>
                <w:rFonts w:ascii="Arial" w:hAnsi="Arial" w:cs="Arial"/>
                <w:sz w:val="20"/>
                <w:szCs w:val="20"/>
              </w:rPr>
              <w:br/>
              <w:t>other agencies</w:t>
            </w:r>
            <w:r w:rsidRPr="00E90030">
              <w:rPr>
                <w:rFonts w:ascii="Arial" w:hAnsi="Arial" w:cs="Arial"/>
                <w:sz w:val="20"/>
                <w:szCs w:val="20"/>
              </w:rPr>
              <w:br/>
              <w:t>and programs</w:t>
            </w:r>
          </w:p>
          <w:p w:rsidR="00474C78" w:rsidRPr="00E90030" w:rsidRDefault="00474C78" w:rsidP="00F9158C">
            <w:pPr>
              <w:pStyle w:val="NormalWeb"/>
              <w:numPr>
                <w:ilvl w:val="0"/>
                <w:numId w:val="48"/>
              </w:numPr>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Integrate </w:t>
            </w:r>
          </w:p>
          <w:p w:rsidR="00474C78" w:rsidRPr="00E90030" w:rsidRDefault="00474C78" w:rsidP="008D2ED6">
            <w:pPr>
              <w:pStyle w:val="NormalWeb"/>
              <w:spacing w:before="0" w:beforeAutospacing="0" w:after="0" w:afterAutospacing="0"/>
              <w:ind w:left="144"/>
              <w:rPr>
                <w:rFonts w:ascii="Arial" w:hAnsi="Arial" w:cs="Arial"/>
                <w:sz w:val="20"/>
                <w:szCs w:val="20"/>
              </w:rPr>
            </w:pPr>
            <w:r w:rsidRPr="00E90030">
              <w:rPr>
                <w:rFonts w:ascii="Arial" w:hAnsi="Arial" w:cs="Arial"/>
                <w:sz w:val="20"/>
                <w:szCs w:val="20"/>
              </w:rPr>
              <w:t>disability and</w:t>
            </w:r>
          </w:p>
          <w:p w:rsidR="00474C78" w:rsidRPr="00E90030" w:rsidRDefault="00474C78" w:rsidP="008D2ED6">
            <w:pPr>
              <w:pStyle w:val="NormalWeb"/>
              <w:spacing w:before="0" w:beforeAutospacing="0" w:after="0" w:afterAutospacing="0"/>
              <w:ind w:left="144"/>
              <w:rPr>
                <w:rFonts w:ascii="Arial" w:hAnsi="Arial" w:cs="Arial"/>
                <w:sz w:val="20"/>
                <w:szCs w:val="20"/>
              </w:rPr>
            </w:pPr>
            <w:r w:rsidRPr="00E90030">
              <w:rPr>
                <w:rFonts w:ascii="Arial" w:hAnsi="Arial" w:cs="Arial"/>
                <w:sz w:val="20"/>
                <w:szCs w:val="20"/>
              </w:rPr>
              <w:t xml:space="preserve">health into </w:t>
            </w:r>
          </w:p>
          <w:p w:rsidR="00474C78" w:rsidRPr="00E90030" w:rsidRDefault="00474C78" w:rsidP="00E90030">
            <w:pPr>
              <w:pStyle w:val="NormalWeb"/>
              <w:spacing w:before="0" w:beforeAutospacing="0" w:after="0" w:afterAutospacing="0"/>
              <w:ind w:left="144"/>
              <w:rPr>
                <w:rFonts w:asciiTheme="minorHAnsi" w:hAnsiTheme="minorHAnsi" w:cstheme="minorHAnsi"/>
                <w:sz w:val="20"/>
                <w:szCs w:val="20"/>
              </w:rPr>
            </w:pPr>
            <w:r w:rsidRPr="00E90030">
              <w:rPr>
                <w:rFonts w:ascii="Arial" w:hAnsi="Arial" w:cs="Arial"/>
                <w:sz w:val="20"/>
                <w:szCs w:val="20"/>
              </w:rPr>
              <w:t>long-range plans</w:t>
            </w:r>
          </w:p>
        </w:tc>
      </w:tr>
    </w:tbl>
    <w:tbl>
      <w:tblPr>
        <w:tblpPr w:leftFromText="180" w:rightFromText="180" w:vertAnchor="text" w:horzAnchor="margin" w:tblpY="36"/>
        <w:tblW w:w="5044" w:type="pct"/>
        <w:tblBorders>
          <w:top w:val="outset" w:sz="6" w:space="0" w:color="111111"/>
          <w:left w:val="outset" w:sz="6" w:space="0" w:color="111111"/>
          <w:bottom w:val="outset" w:sz="6" w:space="0" w:color="111111"/>
          <w:right w:val="outset" w:sz="6" w:space="0" w:color="111111"/>
        </w:tblBorders>
        <w:tblLayout w:type="fixed"/>
        <w:tblCellMar>
          <w:top w:w="72" w:type="dxa"/>
          <w:left w:w="0" w:type="dxa"/>
          <w:bottom w:w="29" w:type="dxa"/>
          <w:right w:w="0" w:type="dxa"/>
        </w:tblCellMar>
        <w:tblLook w:val="04A0" w:firstRow="1" w:lastRow="0" w:firstColumn="1" w:lastColumn="0" w:noHBand="0" w:noVBand="1"/>
      </w:tblPr>
      <w:tblGrid>
        <w:gridCol w:w="1612"/>
        <w:gridCol w:w="76"/>
        <w:gridCol w:w="2009"/>
        <w:gridCol w:w="91"/>
        <w:gridCol w:w="1984"/>
        <w:gridCol w:w="91"/>
        <w:gridCol w:w="1916"/>
        <w:gridCol w:w="72"/>
        <w:gridCol w:w="1608"/>
      </w:tblGrid>
      <w:tr w:rsidR="00864ADA" w:rsidTr="00864ADA">
        <w:trPr>
          <w:trHeight w:val="432"/>
          <w:tblHeader/>
        </w:trPr>
        <w:tc>
          <w:tcPr>
            <w:tcW w:w="5000" w:type="pct"/>
            <w:gridSpan w:val="9"/>
            <w:tcBorders>
              <w:top w:val="outset" w:sz="6" w:space="0" w:color="111111"/>
              <w:left w:val="outset" w:sz="6" w:space="0" w:color="111111"/>
              <w:bottom w:val="outset" w:sz="6" w:space="0" w:color="111111"/>
              <w:right w:val="outset" w:sz="6" w:space="0" w:color="111111"/>
            </w:tcBorders>
            <w:shd w:val="clear" w:color="auto" w:fill="FFFFFF" w:themeFill="background1"/>
          </w:tcPr>
          <w:p w:rsidR="00864ADA" w:rsidRPr="00864ADA" w:rsidRDefault="00864ADA" w:rsidP="000B56A6">
            <w:pPr>
              <w:pStyle w:val="NormalWeb"/>
              <w:spacing w:before="0" w:beforeAutospacing="0" w:after="0" w:afterAutospacing="0"/>
              <w:jc w:val="center"/>
              <w:rPr>
                <w:rStyle w:val="Strong"/>
              </w:rPr>
            </w:pPr>
            <w:r w:rsidRPr="00864ADA">
              <w:rPr>
                <w:rStyle w:val="Strong"/>
              </w:rPr>
              <w:t>Outputs, Products Activities</w:t>
            </w:r>
          </w:p>
        </w:tc>
      </w:tr>
      <w:tr w:rsidR="00864ADA" w:rsidTr="00864ADA">
        <w:trPr>
          <w:trHeight w:val="2832"/>
        </w:trPr>
        <w:tc>
          <w:tcPr>
            <w:tcW w:w="852" w:type="pct"/>
            <w:tcBorders>
              <w:top w:val="outset" w:sz="6" w:space="0" w:color="111111"/>
              <w:left w:val="outset" w:sz="6" w:space="0" w:color="111111"/>
              <w:bottom w:val="outset" w:sz="6" w:space="0" w:color="111111"/>
              <w:right w:val="outset" w:sz="6" w:space="0" w:color="111111"/>
            </w:tcBorders>
            <w:shd w:val="clear" w:color="auto" w:fill="FFFF99"/>
            <w:hideMark/>
          </w:tcPr>
          <w:p w:rsidR="00864ADA" w:rsidRPr="00AD62D3" w:rsidRDefault="00864ADA" w:rsidP="000B56A6">
            <w:pPr>
              <w:pStyle w:val="NormalWeb"/>
              <w:shd w:val="clear" w:color="auto" w:fill="FFFF99"/>
              <w:spacing w:after="0" w:afterAutospacing="0"/>
              <w:jc w:val="center"/>
              <w:rPr>
                <w:rFonts w:asciiTheme="minorHAnsi" w:hAnsiTheme="minorHAnsi" w:cstheme="minorHAnsi"/>
                <w:sz w:val="20"/>
                <w:szCs w:val="20"/>
              </w:rPr>
            </w:pPr>
            <w:r w:rsidRPr="00AD62D3">
              <w:rPr>
                <w:rFonts w:asciiTheme="minorHAnsi" w:hAnsiTheme="minorHAnsi" w:cstheme="minorHAnsi"/>
                <w:b/>
                <w:bCs/>
                <w:sz w:val="20"/>
                <w:szCs w:val="20"/>
              </w:rPr>
              <w:t>↑</w:t>
            </w:r>
          </w:p>
          <w:p w:rsidR="00864ADA" w:rsidRPr="00E90030" w:rsidRDefault="00864ADA" w:rsidP="00864ADA">
            <w:pPr>
              <w:pStyle w:val="NormalWeb"/>
              <w:numPr>
                <w:ilvl w:val="0"/>
                <w:numId w:val="49"/>
              </w:numPr>
              <w:shd w:val="clear" w:color="auto" w:fill="FFFF99"/>
              <w:tabs>
                <w:tab w:val="left" w:pos="98"/>
              </w:tabs>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Surveillance</w:t>
            </w:r>
          </w:p>
          <w:p w:rsidR="00864ADA" w:rsidRPr="00E90030" w:rsidRDefault="00864ADA" w:rsidP="00864ADA">
            <w:pPr>
              <w:pStyle w:val="NormalWeb"/>
              <w:numPr>
                <w:ilvl w:val="0"/>
                <w:numId w:val="49"/>
              </w:numPr>
              <w:shd w:val="clear" w:color="auto" w:fill="FFFF99"/>
              <w:tabs>
                <w:tab w:val="left" w:pos="98"/>
              </w:tabs>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Disability </w:t>
            </w:r>
          </w:p>
          <w:p w:rsidR="00864ADA" w:rsidRPr="00E90030" w:rsidRDefault="00864ADA" w:rsidP="00864ADA">
            <w:pPr>
              <w:pStyle w:val="NormalWeb"/>
              <w:numPr>
                <w:ilvl w:val="0"/>
                <w:numId w:val="49"/>
              </w:numPr>
              <w:shd w:val="clear" w:color="auto" w:fill="FFFF99"/>
              <w:tabs>
                <w:tab w:val="left" w:pos="98"/>
              </w:tabs>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Advisors</w:t>
            </w:r>
          </w:p>
          <w:p w:rsidR="00864ADA" w:rsidRPr="00E90030" w:rsidRDefault="00864ADA" w:rsidP="00864ADA">
            <w:pPr>
              <w:pStyle w:val="NormalWeb"/>
              <w:numPr>
                <w:ilvl w:val="0"/>
                <w:numId w:val="49"/>
              </w:numPr>
              <w:shd w:val="clear" w:color="auto" w:fill="FFFF99"/>
              <w:tabs>
                <w:tab w:val="left" w:pos="98"/>
              </w:tabs>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Epidemiology</w:t>
            </w:r>
            <w:r w:rsidRPr="00E90030">
              <w:rPr>
                <w:rFonts w:ascii="Arial" w:hAnsi="Arial" w:cs="Arial"/>
                <w:sz w:val="20"/>
                <w:szCs w:val="20"/>
              </w:rPr>
              <w:br/>
              <w:t>studies</w:t>
            </w:r>
          </w:p>
          <w:p w:rsidR="00864ADA" w:rsidRPr="00541BBE" w:rsidRDefault="00864ADA" w:rsidP="00864ADA">
            <w:pPr>
              <w:pStyle w:val="NormalWeb"/>
              <w:numPr>
                <w:ilvl w:val="0"/>
                <w:numId w:val="49"/>
              </w:numPr>
              <w:shd w:val="clear" w:color="auto" w:fill="FFFF99"/>
              <w:tabs>
                <w:tab w:val="left" w:pos="98"/>
              </w:tabs>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New partn</w:t>
            </w:r>
            <w:r w:rsidRPr="00E90030">
              <w:rPr>
                <w:rFonts w:ascii="Arial" w:hAnsi="Arial" w:cs="Arial"/>
                <w:b/>
                <w:sz w:val="20"/>
                <w:szCs w:val="20"/>
              </w:rPr>
              <w:t>e</w:t>
            </w:r>
            <w:r w:rsidRPr="00E90030">
              <w:rPr>
                <w:rFonts w:ascii="Arial" w:hAnsi="Arial" w:cs="Arial"/>
                <w:sz w:val="20"/>
                <w:szCs w:val="20"/>
              </w:rPr>
              <w:t>rships</w:t>
            </w:r>
          </w:p>
        </w:tc>
        <w:tc>
          <w:tcPr>
            <w:tcW w:w="40" w:type="pct"/>
            <w:tcBorders>
              <w:top w:val="outset" w:sz="6" w:space="0" w:color="111111"/>
              <w:left w:val="outset" w:sz="6" w:space="0" w:color="111111"/>
              <w:bottom w:val="outset" w:sz="6" w:space="0" w:color="111111"/>
              <w:right w:val="outset" w:sz="6" w:space="0" w:color="111111"/>
            </w:tcBorders>
            <w:hideMark/>
          </w:tcPr>
          <w:p w:rsidR="00864ADA" w:rsidRPr="00AD62D3" w:rsidRDefault="00864ADA" w:rsidP="000B56A6">
            <w:pPr>
              <w:jc w:val="center"/>
              <w:rPr>
                <w:rFonts w:cstheme="minorHAnsi"/>
                <w:sz w:val="20"/>
                <w:szCs w:val="20"/>
              </w:rPr>
            </w:pPr>
          </w:p>
        </w:tc>
        <w:tc>
          <w:tcPr>
            <w:tcW w:w="1062" w:type="pct"/>
            <w:tcBorders>
              <w:top w:val="outset" w:sz="6" w:space="0" w:color="111111"/>
              <w:left w:val="outset" w:sz="6" w:space="0" w:color="111111"/>
              <w:bottom w:val="outset" w:sz="6" w:space="0" w:color="111111"/>
              <w:right w:val="outset" w:sz="6" w:space="0" w:color="111111"/>
            </w:tcBorders>
            <w:shd w:val="clear" w:color="auto" w:fill="FFFF99"/>
            <w:hideMark/>
          </w:tcPr>
          <w:p w:rsidR="00864ADA" w:rsidRPr="00AD62D3" w:rsidRDefault="00864ADA" w:rsidP="000B56A6">
            <w:pPr>
              <w:pStyle w:val="NormalWeb"/>
              <w:spacing w:after="0" w:afterAutospacing="0"/>
              <w:jc w:val="center"/>
              <w:rPr>
                <w:rFonts w:asciiTheme="minorHAnsi" w:hAnsiTheme="minorHAnsi" w:cstheme="minorHAnsi"/>
                <w:sz w:val="20"/>
                <w:szCs w:val="20"/>
              </w:rPr>
            </w:pPr>
            <w:r w:rsidRPr="00AD62D3">
              <w:rPr>
                <w:rFonts w:asciiTheme="minorHAnsi" w:hAnsiTheme="minorHAnsi" w:cstheme="minorHAnsi"/>
                <w:b/>
                <w:bCs/>
                <w:sz w:val="20"/>
                <w:szCs w:val="20"/>
              </w:rPr>
              <w:t>↑</w:t>
            </w:r>
          </w:p>
          <w:p w:rsidR="00864ADA" w:rsidRPr="00E90030" w:rsidRDefault="00864ADA" w:rsidP="00864ADA">
            <w:pPr>
              <w:pStyle w:val="NormalWeb"/>
              <w:numPr>
                <w:ilvl w:val="0"/>
                <w:numId w:val="50"/>
              </w:numPr>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Nutrition</w:t>
            </w:r>
          </w:p>
          <w:p w:rsidR="00864ADA" w:rsidRPr="00E90030" w:rsidRDefault="00864ADA" w:rsidP="00864ADA">
            <w:pPr>
              <w:pStyle w:val="NormalWeb"/>
              <w:numPr>
                <w:ilvl w:val="0"/>
                <w:numId w:val="50"/>
              </w:numPr>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Oral health</w:t>
            </w:r>
          </w:p>
          <w:p w:rsidR="00864ADA" w:rsidRPr="00E90030" w:rsidRDefault="00864ADA" w:rsidP="00864ADA">
            <w:pPr>
              <w:pStyle w:val="NormalWeb"/>
              <w:numPr>
                <w:ilvl w:val="0"/>
                <w:numId w:val="50"/>
              </w:numPr>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Funding</w:t>
            </w:r>
          </w:p>
          <w:p w:rsidR="00864ADA" w:rsidRPr="00AD62D3" w:rsidRDefault="00864ADA" w:rsidP="00864ADA">
            <w:pPr>
              <w:pStyle w:val="NormalWeb"/>
              <w:numPr>
                <w:ilvl w:val="0"/>
                <w:numId w:val="50"/>
              </w:numPr>
              <w:spacing w:before="0" w:beforeAutospacing="0" w:after="0" w:afterAutospacing="0"/>
              <w:ind w:left="144" w:hanging="144"/>
              <w:rPr>
                <w:rFonts w:asciiTheme="minorHAnsi" w:hAnsiTheme="minorHAnsi" w:cstheme="minorHAnsi"/>
                <w:sz w:val="20"/>
                <w:szCs w:val="20"/>
              </w:rPr>
            </w:pPr>
            <w:r w:rsidRPr="00E90030">
              <w:rPr>
                <w:rFonts w:ascii="Arial" w:hAnsi="Arial" w:cs="Arial"/>
                <w:sz w:val="20"/>
                <w:szCs w:val="20"/>
              </w:rPr>
              <w:t xml:space="preserve"> LWD Program</w:t>
            </w:r>
          </w:p>
        </w:tc>
        <w:tc>
          <w:tcPr>
            <w:tcW w:w="48" w:type="pct"/>
            <w:tcBorders>
              <w:top w:val="outset" w:sz="6" w:space="0" w:color="111111"/>
              <w:left w:val="outset" w:sz="6" w:space="0" w:color="111111"/>
              <w:bottom w:val="outset" w:sz="6" w:space="0" w:color="111111"/>
              <w:right w:val="outset" w:sz="6" w:space="0" w:color="111111"/>
            </w:tcBorders>
            <w:hideMark/>
          </w:tcPr>
          <w:p w:rsidR="00864ADA" w:rsidRPr="00AD62D3" w:rsidRDefault="00864ADA" w:rsidP="000B56A6">
            <w:pPr>
              <w:jc w:val="center"/>
              <w:rPr>
                <w:rFonts w:cstheme="minorHAnsi"/>
                <w:sz w:val="20"/>
                <w:szCs w:val="20"/>
              </w:rPr>
            </w:pPr>
          </w:p>
        </w:tc>
        <w:tc>
          <w:tcPr>
            <w:tcW w:w="1049" w:type="pct"/>
            <w:tcBorders>
              <w:top w:val="outset" w:sz="6" w:space="0" w:color="111111"/>
              <w:left w:val="outset" w:sz="6" w:space="0" w:color="111111"/>
              <w:bottom w:val="outset" w:sz="6" w:space="0" w:color="111111"/>
              <w:right w:val="outset" w:sz="6" w:space="0" w:color="111111"/>
            </w:tcBorders>
            <w:shd w:val="clear" w:color="auto" w:fill="FFFF99"/>
            <w:hideMark/>
          </w:tcPr>
          <w:p w:rsidR="00864ADA" w:rsidRDefault="00864ADA" w:rsidP="000B56A6">
            <w:pPr>
              <w:pStyle w:val="NormalWeb"/>
              <w:spacing w:before="0" w:beforeAutospacing="0" w:after="0" w:afterAutospacing="0"/>
              <w:jc w:val="center"/>
              <w:rPr>
                <w:rFonts w:asciiTheme="minorHAnsi" w:hAnsiTheme="minorHAnsi" w:cstheme="minorHAnsi"/>
                <w:b/>
                <w:bCs/>
                <w:sz w:val="20"/>
                <w:szCs w:val="20"/>
              </w:rPr>
            </w:pPr>
            <w:r w:rsidRPr="00AD62D3">
              <w:rPr>
                <w:rFonts w:asciiTheme="minorHAnsi" w:hAnsiTheme="minorHAnsi" w:cstheme="minorHAnsi"/>
                <w:b/>
                <w:bCs/>
                <w:sz w:val="20"/>
                <w:szCs w:val="20"/>
              </w:rPr>
              <w:t>↑</w:t>
            </w:r>
          </w:p>
          <w:p w:rsidR="00864ADA" w:rsidRPr="00E90030" w:rsidRDefault="00864ADA" w:rsidP="00864ADA">
            <w:pPr>
              <w:pStyle w:val="NormalWeb"/>
              <w:numPr>
                <w:ilvl w:val="0"/>
                <w:numId w:val="51"/>
              </w:numPr>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Assessment tool</w:t>
            </w:r>
          </w:p>
          <w:p w:rsidR="00864ADA" w:rsidRPr="00E90030" w:rsidRDefault="00864ADA" w:rsidP="00864ADA">
            <w:pPr>
              <w:pStyle w:val="NormalWeb"/>
              <w:numPr>
                <w:ilvl w:val="0"/>
                <w:numId w:val="51"/>
              </w:numPr>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Curriculum</w:t>
            </w:r>
          </w:p>
          <w:p w:rsidR="00864ADA" w:rsidRPr="00E90030" w:rsidRDefault="00864ADA" w:rsidP="00864ADA">
            <w:pPr>
              <w:pStyle w:val="NormalWeb"/>
              <w:numPr>
                <w:ilvl w:val="0"/>
                <w:numId w:val="51"/>
              </w:numPr>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Information and</w:t>
            </w:r>
            <w:r w:rsidRPr="00E90030">
              <w:rPr>
                <w:rFonts w:ascii="Arial" w:hAnsi="Arial" w:cs="Arial"/>
                <w:sz w:val="20"/>
                <w:szCs w:val="20"/>
              </w:rPr>
              <w:br/>
              <w:t>materials</w:t>
            </w:r>
          </w:p>
          <w:p w:rsidR="00864ADA" w:rsidRPr="00E90030" w:rsidRDefault="00864ADA" w:rsidP="00864ADA">
            <w:pPr>
              <w:pStyle w:val="NormalWeb"/>
              <w:numPr>
                <w:ilvl w:val="0"/>
                <w:numId w:val="51"/>
              </w:numPr>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Technical</w:t>
            </w:r>
            <w:r w:rsidRPr="00E90030">
              <w:rPr>
                <w:rFonts w:ascii="Arial" w:hAnsi="Arial" w:cs="Arial"/>
                <w:sz w:val="20"/>
                <w:szCs w:val="20"/>
              </w:rPr>
              <w:br/>
              <w:t xml:space="preserve"> assistance</w:t>
            </w:r>
          </w:p>
          <w:p w:rsidR="00864ADA" w:rsidRPr="00E90030" w:rsidRDefault="00864ADA" w:rsidP="00864ADA">
            <w:pPr>
              <w:pStyle w:val="NormalWeb"/>
              <w:numPr>
                <w:ilvl w:val="0"/>
                <w:numId w:val="51"/>
              </w:numPr>
              <w:spacing w:before="0" w:beforeAutospacing="0" w:after="0" w:afterAutospacing="0"/>
              <w:ind w:left="144" w:hanging="144"/>
              <w:rPr>
                <w:rFonts w:ascii="Arial" w:hAnsi="Arial" w:cs="Arial"/>
                <w:sz w:val="20"/>
                <w:szCs w:val="20"/>
              </w:rPr>
            </w:pPr>
            <w:r w:rsidRPr="00E90030">
              <w:rPr>
                <w:rFonts w:ascii="Arial" w:hAnsi="Arial" w:cs="Arial"/>
                <w:sz w:val="20"/>
                <w:szCs w:val="20"/>
              </w:rPr>
              <w:t xml:space="preserve"> Disability  advisors</w:t>
            </w:r>
          </w:p>
          <w:p w:rsidR="00864ADA" w:rsidRPr="00AD62D3" w:rsidRDefault="00864ADA" w:rsidP="00864ADA">
            <w:pPr>
              <w:pStyle w:val="NormalWeb"/>
              <w:numPr>
                <w:ilvl w:val="0"/>
                <w:numId w:val="51"/>
              </w:numPr>
              <w:spacing w:before="0" w:beforeAutospacing="0" w:after="0" w:afterAutospacing="0"/>
              <w:ind w:left="144" w:hanging="144"/>
              <w:rPr>
                <w:rFonts w:asciiTheme="minorHAnsi" w:hAnsiTheme="minorHAnsi" w:cstheme="minorHAnsi"/>
                <w:sz w:val="20"/>
                <w:szCs w:val="20"/>
              </w:rPr>
            </w:pPr>
            <w:r w:rsidRPr="00E90030">
              <w:rPr>
                <w:rFonts w:ascii="Arial" w:hAnsi="Arial" w:cs="Arial"/>
                <w:sz w:val="20"/>
                <w:szCs w:val="20"/>
              </w:rPr>
              <w:t xml:space="preserve"> Awareness</w:t>
            </w:r>
            <w:r w:rsidRPr="00AD62D3">
              <w:rPr>
                <w:rFonts w:asciiTheme="minorHAnsi" w:hAnsiTheme="minorHAnsi" w:cstheme="minorHAnsi"/>
                <w:sz w:val="20"/>
                <w:szCs w:val="20"/>
              </w:rPr>
              <w:br/>
            </w:r>
          </w:p>
        </w:tc>
        <w:tc>
          <w:tcPr>
            <w:tcW w:w="48" w:type="pct"/>
            <w:tcBorders>
              <w:top w:val="outset" w:sz="6" w:space="0" w:color="111111"/>
              <w:left w:val="outset" w:sz="6" w:space="0" w:color="111111"/>
              <w:bottom w:val="outset" w:sz="6" w:space="0" w:color="111111"/>
              <w:right w:val="outset" w:sz="6" w:space="0" w:color="111111"/>
            </w:tcBorders>
            <w:hideMark/>
          </w:tcPr>
          <w:p w:rsidR="00864ADA" w:rsidRPr="00AD62D3" w:rsidRDefault="00864ADA" w:rsidP="000B56A6">
            <w:pPr>
              <w:jc w:val="center"/>
              <w:rPr>
                <w:rFonts w:cstheme="minorHAnsi"/>
                <w:sz w:val="20"/>
                <w:szCs w:val="20"/>
              </w:rPr>
            </w:pPr>
          </w:p>
        </w:tc>
        <w:tc>
          <w:tcPr>
            <w:tcW w:w="1013" w:type="pct"/>
            <w:tcBorders>
              <w:top w:val="outset" w:sz="6" w:space="0" w:color="111111"/>
              <w:left w:val="outset" w:sz="6" w:space="0" w:color="111111"/>
              <w:bottom w:val="outset" w:sz="6" w:space="0" w:color="111111"/>
              <w:right w:val="outset" w:sz="6" w:space="0" w:color="111111"/>
            </w:tcBorders>
            <w:shd w:val="clear" w:color="auto" w:fill="FFFF99"/>
            <w:hideMark/>
          </w:tcPr>
          <w:p w:rsidR="00864ADA" w:rsidRPr="00AD62D3" w:rsidRDefault="00864ADA" w:rsidP="000B56A6">
            <w:pPr>
              <w:pStyle w:val="NormalWeb"/>
              <w:spacing w:before="0" w:beforeAutospacing="0" w:after="0" w:afterAutospacing="0"/>
              <w:jc w:val="center"/>
              <w:rPr>
                <w:rFonts w:asciiTheme="minorHAnsi" w:hAnsiTheme="minorHAnsi" w:cstheme="minorHAnsi"/>
                <w:sz w:val="20"/>
                <w:szCs w:val="20"/>
              </w:rPr>
            </w:pPr>
            <w:r w:rsidRPr="00AD62D3">
              <w:rPr>
                <w:rFonts w:asciiTheme="minorHAnsi" w:hAnsiTheme="minorHAnsi" w:cstheme="minorHAnsi"/>
                <w:b/>
                <w:bCs/>
                <w:sz w:val="20"/>
                <w:szCs w:val="20"/>
              </w:rPr>
              <w:t>↑</w:t>
            </w:r>
          </w:p>
          <w:p w:rsidR="00864ADA" w:rsidRPr="00E90030" w:rsidRDefault="00864ADA" w:rsidP="00864ADA">
            <w:pPr>
              <w:pStyle w:val="NormalWeb"/>
              <w:numPr>
                <w:ilvl w:val="0"/>
                <w:numId w:val="52"/>
              </w:numPr>
              <w:spacing w:before="0" w:beforeAutospacing="0" w:after="0" w:afterAutospacing="0"/>
              <w:ind w:left="144" w:hanging="144"/>
              <w:rPr>
                <w:rFonts w:ascii="Arial" w:hAnsi="Arial" w:cs="Arial"/>
                <w:sz w:val="20"/>
                <w:szCs w:val="20"/>
              </w:rPr>
            </w:pPr>
            <w:r w:rsidRPr="00E90030">
              <w:rPr>
                <w:rFonts w:ascii="Arial" w:hAnsi="Arial" w:cs="Arial"/>
                <w:sz w:val="20"/>
                <w:szCs w:val="20"/>
              </w:rPr>
              <w:t>Surveys</w:t>
            </w:r>
          </w:p>
          <w:p w:rsidR="00864ADA" w:rsidRPr="00E90030" w:rsidRDefault="00864ADA" w:rsidP="00864ADA">
            <w:pPr>
              <w:pStyle w:val="NormalWeb"/>
              <w:numPr>
                <w:ilvl w:val="0"/>
                <w:numId w:val="52"/>
              </w:numPr>
              <w:spacing w:before="0" w:beforeAutospacing="0" w:after="0" w:afterAutospacing="0"/>
              <w:ind w:left="144" w:hanging="144"/>
              <w:rPr>
                <w:rFonts w:ascii="Arial" w:hAnsi="Arial" w:cs="Arial"/>
                <w:sz w:val="20"/>
                <w:szCs w:val="20"/>
              </w:rPr>
            </w:pPr>
            <w:r w:rsidRPr="00E90030">
              <w:rPr>
                <w:rFonts w:ascii="Arial" w:hAnsi="Arial" w:cs="Arial"/>
                <w:sz w:val="20"/>
                <w:szCs w:val="20"/>
              </w:rPr>
              <w:t>Training</w:t>
            </w:r>
          </w:p>
          <w:p w:rsidR="00864ADA" w:rsidRPr="00E90030" w:rsidRDefault="00864ADA" w:rsidP="00864ADA">
            <w:pPr>
              <w:pStyle w:val="NormalWeb"/>
              <w:numPr>
                <w:ilvl w:val="0"/>
                <w:numId w:val="52"/>
              </w:numPr>
              <w:spacing w:before="0" w:beforeAutospacing="0" w:after="0" w:afterAutospacing="0"/>
              <w:ind w:left="144" w:hanging="144"/>
              <w:rPr>
                <w:rFonts w:ascii="Arial" w:hAnsi="Arial" w:cs="Arial"/>
                <w:sz w:val="20"/>
                <w:szCs w:val="20"/>
              </w:rPr>
            </w:pPr>
            <w:r w:rsidRPr="00E90030">
              <w:rPr>
                <w:rFonts w:ascii="Arial" w:hAnsi="Arial" w:cs="Arial"/>
                <w:sz w:val="20"/>
                <w:szCs w:val="20"/>
              </w:rPr>
              <w:t>Accessibility</w:t>
            </w:r>
            <w:r w:rsidRPr="00E90030">
              <w:rPr>
                <w:rFonts w:ascii="Arial" w:hAnsi="Arial" w:cs="Arial"/>
                <w:sz w:val="20"/>
                <w:szCs w:val="20"/>
              </w:rPr>
              <w:br/>
              <w:t>Ambassador</w:t>
            </w:r>
            <w:r w:rsidRPr="00E90030">
              <w:rPr>
                <w:rFonts w:ascii="Arial" w:hAnsi="Arial" w:cs="Arial"/>
                <w:sz w:val="20"/>
                <w:szCs w:val="20"/>
              </w:rPr>
              <w:br/>
              <w:t>program</w:t>
            </w:r>
          </w:p>
          <w:p w:rsidR="00864ADA" w:rsidRPr="00E90030" w:rsidRDefault="00864ADA" w:rsidP="00864ADA">
            <w:pPr>
              <w:pStyle w:val="NormalWeb"/>
              <w:numPr>
                <w:ilvl w:val="0"/>
                <w:numId w:val="52"/>
              </w:numPr>
              <w:spacing w:before="0" w:beforeAutospacing="0" w:after="0" w:afterAutospacing="0"/>
              <w:ind w:left="144" w:hanging="144"/>
              <w:rPr>
                <w:rFonts w:ascii="Arial" w:hAnsi="Arial" w:cs="Arial"/>
                <w:sz w:val="20"/>
                <w:szCs w:val="20"/>
              </w:rPr>
            </w:pPr>
            <w:r w:rsidRPr="00E90030">
              <w:rPr>
                <w:rFonts w:ascii="Arial" w:hAnsi="Arial" w:cs="Arial"/>
                <w:sz w:val="20"/>
                <w:szCs w:val="20"/>
              </w:rPr>
              <w:t>Architectural</w:t>
            </w:r>
            <w:r w:rsidRPr="00E90030">
              <w:rPr>
                <w:rFonts w:ascii="Arial" w:hAnsi="Arial" w:cs="Arial"/>
                <w:sz w:val="20"/>
                <w:szCs w:val="20"/>
              </w:rPr>
              <w:br/>
              <w:t>design</w:t>
            </w:r>
          </w:p>
          <w:p w:rsidR="00864ADA" w:rsidRPr="00AD62D3" w:rsidRDefault="00864ADA" w:rsidP="00864ADA">
            <w:pPr>
              <w:pStyle w:val="NormalWeb"/>
              <w:numPr>
                <w:ilvl w:val="0"/>
                <w:numId w:val="52"/>
              </w:numPr>
              <w:spacing w:before="0" w:beforeAutospacing="0" w:after="0" w:afterAutospacing="0"/>
              <w:ind w:left="144" w:hanging="144"/>
              <w:rPr>
                <w:rFonts w:asciiTheme="minorHAnsi" w:hAnsiTheme="minorHAnsi" w:cstheme="minorHAnsi"/>
                <w:sz w:val="20"/>
                <w:szCs w:val="20"/>
              </w:rPr>
            </w:pPr>
            <w:r w:rsidRPr="00E90030">
              <w:rPr>
                <w:rFonts w:ascii="Arial" w:hAnsi="Arial" w:cs="Arial"/>
                <w:sz w:val="20"/>
                <w:szCs w:val="20"/>
              </w:rPr>
              <w:t>Resources &amp; tools (EP planning)</w:t>
            </w:r>
          </w:p>
        </w:tc>
        <w:tc>
          <w:tcPr>
            <w:tcW w:w="38" w:type="pct"/>
            <w:tcBorders>
              <w:top w:val="outset" w:sz="6" w:space="0" w:color="111111"/>
              <w:left w:val="outset" w:sz="6" w:space="0" w:color="111111"/>
              <w:bottom w:val="outset" w:sz="6" w:space="0" w:color="111111"/>
              <w:right w:val="outset" w:sz="6" w:space="0" w:color="111111"/>
            </w:tcBorders>
            <w:hideMark/>
          </w:tcPr>
          <w:p w:rsidR="00864ADA" w:rsidRPr="00AD62D3" w:rsidRDefault="00864ADA" w:rsidP="000B56A6">
            <w:pPr>
              <w:jc w:val="center"/>
              <w:rPr>
                <w:rFonts w:cstheme="minorHAnsi"/>
                <w:sz w:val="20"/>
                <w:szCs w:val="20"/>
              </w:rPr>
            </w:pPr>
          </w:p>
        </w:tc>
        <w:tc>
          <w:tcPr>
            <w:tcW w:w="850" w:type="pct"/>
            <w:tcBorders>
              <w:top w:val="outset" w:sz="6" w:space="0" w:color="111111"/>
              <w:left w:val="outset" w:sz="6" w:space="0" w:color="111111"/>
              <w:bottom w:val="outset" w:sz="6" w:space="0" w:color="111111"/>
              <w:right w:val="outset" w:sz="6" w:space="0" w:color="111111"/>
            </w:tcBorders>
            <w:shd w:val="clear" w:color="auto" w:fill="FFFF99"/>
            <w:hideMark/>
          </w:tcPr>
          <w:p w:rsidR="00864ADA" w:rsidRPr="00AD62D3" w:rsidRDefault="00864ADA" w:rsidP="000B56A6">
            <w:pPr>
              <w:pStyle w:val="NormalWeb"/>
              <w:spacing w:before="0" w:beforeAutospacing="0" w:after="0" w:afterAutospacing="0"/>
              <w:jc w:val="center"/>
              <w:rPr>
                <w:rFonts w:asciiTheme="minorHAnsi" w:hAnsiTheme="minorHAnsi" w:cstheme="minorHAnsi"/>
                <w:sz w:val="20"/>
                <w:szCs w:val="20"/>
              </w:rPr>
            </w:pPr>
            <w:r w:rsidRPr="00AD62D3">
              <w:rPr>
                <w:rFonts w:asciiTheme="minorHAnsi" w:hAnsiTheme="minorHAnsi" w:cstheme="minorHAnsi"/>
                <w:b/>
                <w:bCs/>
                <w:sz w:val="20"/>
                <w:szCs w:val="20"/>
              </w:rPr>
              <w:t>↑</w:t>
            </w:r>
          </w:p>
          <w:p w:rsidR="00864ADA" w:rsidRPr="00E90030" w:rsidRDefault="00864ADA" w:rsidP="00864ADA">
            <w:pPr>
              <w:pStyle w:val="NormalWeb"/>
              <w:numPr>
                <w:ilvl w:val="0"/>
                <w:numId w:val="53"/>
              </w:numPr>
              <w:spacing w:before="0" w:beforeAutospacing="0" w:after="0" w:afterAutospacing="0"/>
              <w:ind w:left="144" w:hanging="144"/>
              <w:rPr>
                <w:rFonts w:ascii="Arial" w:hAnsi="Arial" w:cs="Arial"/>
                <w:sz w:val="20"/>
                <w:szCs w:val="20"/>
              </w:rPr>
            </w:pPr>
            <w:r w:rsidRPr="00E90030">
              <w:rPr>
                <w:rFonts w:ascii="Arial" w:hAnsi="Arial" w:cs="Arial"/>
                <w:sz w:val="20"/>
                <w:szCs w:val="20"/>
              </w:rPr>
              <w:t>Establish</w:t>
            </w:r>
            <w:r w:rsidRPr="00E90030">
              <w:rPr>
                <w:rFonts w:ascii="Arial" w:hAnsi="Arial" w:cs="Arial"/>
                <w:sz w:val="20"/>
                <w:szCs w:val="20"/>
              </w:rPr>
              <w:br/>
              <w:t>partnerships &amp;</w:t>
            </w:r>
          </w:p>
          <w:p w:rsidR="00864ADA" w:rsidRPr="00E90030" w:rsidRDefault="00864ADA" w:rsidP="000B56A6">
            <w:pPr>
              <w:pStyle w:val="NormalWeb"/>
              <w:spacing w:before="0" w:beforeAutospacing="0" w:after="0" w:afterAutospacing="0"/>
              <w:ind w:left="144"/>
              <w:rPr>
                <w:rFonts w:ascii="Arial" w:hAnsi="Arial" w:cs="Arial"/>
                <w:sz w:val="20"/>
                <w:szCs w:val="20"/>
              </w:rPr>
            </w:pPr>
            <w:r w:rsidRPr="00E90030">
              <w:rPr>
                <w:rFonts w:ascii="Arial" w:hAnsi="Arial" w:cs="Arial"/>
                <w:sz w:val="20"/>
                <w:szCs w:val="20"/>
              </w:rPr>
              <w:t>collaborative</w:t>
            </w:r>
          </w:p>
          <w:p w:rsidR="00864ADA" w:rsidRPr="00E90030" w:rsidRDefault="00864ADA" w:rsidP="000B56A6">
            <w:pPr>
              <w:pStyle w:val="NormalWeb"/>
              <w:spacing w:before="0" w:beforeAutospacing="0" w:after="0" w:afterAutospacing="0"/>
              <w:ind w:left="144"/>
              <w:rPr>
                <w:rFonts w:ascii="Arial" w:hAnsi="Arial" w:cs="Arial"/>
                <w:sz w:val="20"/>
                <w:szCs w:val="20"/>
              </w:rPr>
            </w:pPr>
            <w:r w:rsidRPr="00E90030">
              <w:rPr>
                <w:rFonts w:ascii="Arial" w:hAnsi="Arial" w:cs="Arial"/>
                <w:sz w:val="20"/>
                <w:szCs w:val="20"/>
              </w:rPr>
              <w:t>arrangements</w:t>
            </w:r>
          </w:p>
          <w:p w:rsidR="00864ADA" w:rsidRPr="00AD62D3" w:rsidRDefault="00864ADA" w:rsidP="000B56A6">
            <w:pPr>
              <w:pStyle w:val="NormalWeb"/>
              <w:spacing w:before="0" w:beforeAutospacing="0" w:after="0" w:afterAutospacing="0"/>
              <w:ind w:firstLine="144"/>
              <w:jc w:val="center"/>
              <w:rPr>
                <w:rFonts w:asciiTheme="minorHAnsi" w:hAnsiTheme="minorHAnsi" w:cstheme="minorHAnsi"/>
                <w:sz w:val="20"/>
                <w:szCs w:val="20"/>
              </w:rPr>
            </w:pPr>
          </w:p>
          <w:p w:rsidR="00864ADA" w:rsidRPr="00AD62D3" w:rsidRDefault="00864ADA" w:rsidP="000B56A6">
            <w:pPr>
              <w:pStyle w:val="NormalWeb"/>
              <w:jc w:val="center"/>
              <w:rPr>
                <w:rFonts w:asciiTheme="minorHAnsi" w:hAnsiTheme="minorHAnsi" w:cstheme="minorHAnsi"/>
                <w:sz w:val="20"/>
                <w:szCs w:val="20"/>
              </w:rPr>
            </w:pPr>
          </w:p>
          <w:p w:rsidR="00864ADA" w:rsidRPr="00AD62D3" w:rsidRDefault="00864ADA" w:rsidP="000B56A6">
            <w:pPr>
              <w:pStyle w:val="NormalWeb"/>
              <w:jc w:val="center"/>
              <w:rPr>
                <w:rFonts w:asciiTheme="minorHAnsi" w:hAnsiTheme="minorHAnsi" w:cstheme="minorHAnsi"/>
                <w:sz w:val="20"/>
                <w:szCs w:val="20"/>
              </w:rPr>
            </w:pPr>
          </w:p>
        </w:tc>
      </w:tr>
    </w:tbl>
    <w:p w:rsidR="00474C78" w:rsidRPr="00F32D56" w:rsidRDefault="00474C78" w:rsidP="00474C78">
      <w:pPr>
        <w:rPr>
          <w:sz w:val="2"/>
          <w:szCs w:val="2"/>
        </w:rPr>
      </w:pPr>
    </w:p>
    <w:p w:rsidR="00524FC9" w:rsidRDefault="00524FC9" w:rsidP="009C7774">
      <w:pPr>
        <w:spacing w:after="120"/>
        <w:rPr>
          <w:b/>
          <w:sz w:val="34"/>
        </w:rPr>
        <w:sectPr w:rsidR="00524FC9" w:rsidSect="00A07593">
          <w:pgSz w:w="12240" w:h="15840"/>
          <w:pgMar w:top="1440" w:right="1440" w:bottom="1440" w:left="1440" w:header="720" w:footer="720" w:gutter="0"/>
          <w:cols w:space="720"/>
          <w:docGrid w:linePitch="360"/>
        </w:sectPr>
      </w:pPr>
    </w:p>
    <w:p w:rsidR="00310630" w:rsidRDefault="00310630" w:rsidP="008418AB">
      <w:pPr>
        <w:pStyle w:val="Heading3"/>
      </w:pPr>
      <w:bookmarkStart w:id="37" w:name="_Toc403370692"/>
      <w:r w:rsidRPr="003E00B9">
        <w:lastRenderedPageBreak/>
        <w:t>Outcome Goal One: Enhance Program Infrastructure and Capacity</w:t>
      </w:r>
      <w:bookmarkEnd w:id="37"/>
    </w:p>
    <w:p w:rsidR="009C7774" w:rsidRDefault="009C7774" w:rsidP="00067FEC">
      <w:pPr>
        <w:pStyle w:val="ReportBodyText"/>
        <w:spacing w:line="276" w:lineRule="auto"/>
      </w:pPr>
      <w:r w:rsidRPr="00524FC9">
        <w:t xml:space="preserve">The </w:t>
      </w:r>
      <w:hyperlink r:id="rId33" w:tooltip="United Nations Development Programme" w:history="1">
        <w:r w:rsidRPr="00524FC9">
          <w:rPr>
            <w:rFonts w:eastAsiaTheme="majorEastAsia"/>
          </w:rPr>
          <w:t>United Nations Development Programme</w:t>
        </w:r>
      </w:hyperlink>
      <w:r w:rsidRPr="00524FC9">
        <w:t xml:space="preserve"> (UNDP) defines capacity building as a long-term continual process of development that involves all stakeholders (including ministries, local authorities, non-governmental organizations, professionals, community members, academics and more). Capacity building uses a country’s human, scientific, technological, organizational, institutional and resource capabilities. The goal of capacity building is to tackle problems related to policy and methods of development, while considering the potential, limits and needs of the people of the area concerned. The UNDP outlines capacity building as taking place on an individual level, an institutional level and the societal level.</w:t>
      </w:r>
      <w:r w:rsidRPr="008E7880">
        <w:rPr>
          <w:rStyle w:val="FootnoteReference"/>
        </w:rPr>
        <w:footnoteReference w:id="62"/>
      </w:r>
      <w:r w:rsidRPr="008E7880">
        <w:t xml:space="preserve"> </w:t>
      </w:r>
    </w:p>
    <w:p w:rsidR="00524FC9" w:rsidRPr="00BA2680" w:rsidRDefault="00524FC9" w:rsidP="00BA2680">
      <w:pPr>
        <w:rPr>
          <w:rStyle w:val="Strong"/>
        </w:rPr>
      </w:pPr>
      <w:r w:rsidRPr="00BA2680">
        <w:rPr>
          <w:rStyle w:val="Strong"/>
        </w:rPr>
        <w:t>Objective 1A</w:t>
      </w:r>
    </w:p>
    <w:p w:rsidR="00153AE9" w:rsidRPr="00524FC9" w:rsidRDefault="00524FC9" w:rsidP="00BA2680">
      <w:pPr>
        <w:rPr>
          <w:rStyle w:val="Strong"/>
        </w:rPr>
      </w:pPr>
      <w:r w:rsidRPr="00524FC9">
        <w:rPr>
          <w:rStyle w:val="Strong"/>
        </w:rPr>
        <w:t>By June 30, 2015, the MTDH Core Management Team</w:t>
      </w:r>
      <w:r w:rsidRPr="00524FC9">
        <w:rPr>
          <w:rStyle w:val="Strong"/>
        </w:rPr>
        <w:footnoteReference w:id="63"/>
      </w:r>
      <w:r w:rsidRPr="00524FC9">
        <w:rPr>
          <w:rStyle w:val="Strong"/>
        </w:rPr>
        <w:t xml:space="preserve"> will develop 10 written processes and/or agreements to assure that the MTDH Strategic Plan is integrated with other state plans pertaining to persons with disabilities.  </w:t>
      </w:r>
    </w:p>
    <w:p w:rsidR="00153AE9" w:rsidRPr="00524FC9" w:rsidRDefault="00153AE9" w:rsidP="00524FC9">
      <w:pPr>
        <w:rPr>
          <w:rStyle w:val="Strong"/>
        </w:rPr>
      </w:pPr>
      <w:r w:rsidRPr="00524FC9">
        <w:rPr>
          <w:rStyle w:val="Strong"/>
        </w:rPr>
        <w:t>Rationale</w:t>
      </w:r>
    </w:p>
    <w:p w:rsidR="00153AE9" w:rsidRPr="00B11A9D" w:rsidRDefault="00153AE9" w:rsidP="00524FC9">
      <w:pPr>
        <w:rPr>
          <w:rFonts w:eastAsia="Times New Roman" w:cs="Arial"/>
          <w:bCs/>
        </w:rPr>
      </w:pPr>
      <w:r w:rsidRPr="00B11A9D">
        <w:rPr>
          <w:rFonts w:eastAsia="Times New Roman" w:cs="Arial"/>
          <w:bCs/>
        </w:rPr>
        <w:t xml:space="preserve">The Core Management Team for the MTDH Program is composed of representatives from: </w:t>
      </w:r>
    </w:p>
    <w:p w:rsidR="00153AE9" w:rsidRPr="00524FC9" w:rsidRDefault="00153AE9" w:rsidP="00F9158C">
      <w:pPr>
        <w:pStyle w:val="ListParagraph"/>
        <w:numPr>
          <w:ilvl w:val="0"/>
          <w:numId w:val="54"/>
        </w:numPr>
        <w:rPr>
          <w:rFonts w:eastAsia="Times New Roman" w:cs="Arial"/>
          <w:bCs/>
        </w:rPr>
      </w:pPr>
      <w:r w:rsidRPr="00524FC9">
        <w:rPr>
          <w:rFonts w:eastAsia="Times New Roman" w:cs="Arial"/>
          <w:bCs/>
        </w:rPr>
        <w:t>The</w:t>
      </w:r>
      <w:r w:rsidRPr="00524FC9">
        <w:rPr>
          <w:rFonts w:eastAsia="Times New Roman" w:cs="Arial"/>
          <w:b/>
          <w:bCs/>
          <w:color w:val="1F497D" w:themeColor="text2"/>
        </w:rPr>
        <w:t xml:space="preserve"> </w:t>
      </w:r>
      <w:r w:rsidRPr="00524FC9">
        <w:rPr>
          <w:rFonts w:eastAsia="Times New Roman" w:cs="Arial"/>
          <w:bCs/>
        </w:rPr>
        <w:t xml:space="preserve">Montana Department of Public Health and Human Services (MDPHHS), the largest department in state government, contains the programs and services cited in the </w:t>
      </w:r>
      <w:r w:rsidRPr="00524FC9">
        <w:rPr>
          <w:rFonts w:cs="Arial"/>
          <w:i/>
        </w:rPr>
        <w:t>National Center on Birth Defects and Developmental Disabilities</w:t>
      </w:r>
      <w:r w:rsidRPr="00524FC9">
        <w:rPr>
          <w:rFonts w:cs="Arial"/>
        </w:rPr>
        <w:t xml:space="preserve"> (NCBDDD) Strategic Plan for 2011-2015. Pertinent MDPHHS divisions, bureaus and offices are listed in Appendix A.</w:t>
      </w:r>
    </w:p>
    <w:p w:rsidR="00153AE9" w:rsidRPr="00524FC9" w:rsidRDefault="00153AE9" w:rsidP="00F9158C">
      <w:pPr>
        <w:pStyle w:val="ListParagraph"/>
        <w:numPr>
          <w:ilvl w:val="0"/>
          <w:numId w:val="54"/>
        </w:numPr>
        <w:rPr>
          <w:rFonts w:cs="Arial"/>
          <w:bCs/>
        </w:rPr>
      </w:pPr>
      <w:r w:rsidRPr="00524FC9">
        <w:rPr>
          <w:rFonts w:cs="Arial"/>
        </w:rPr>
        <w:t xml:space="preserve">The University of Montana Rural Institute (UMRI), a Center for Excellence in Disability Education, Research, and Service employs nine faculty and over 50 staff members who are currently working on 30+ projects that cover a broad range of disability related topics. </w:t>
      </w:r>
    </w:p>
    <w:p w:rsidR="00153AE9" w:rsidRPr="00524FC9" w:rsidRDefault="00153AE9" w:rsidP="00153AE9">
      <w:pPr>
        <w:pStyle w:val="NormalWeb"/>
        <w:spacing w:before="0" w:beforeAutospacing="0" w:after="120" w:afterAutospacing="0"/>
        <w:rPr>
          <w:rStyle w:val="Strong"/>
        </w:rPr>
      </w:pPr>
      <w:r w:rsidRPr="00524FC9">
        <w:rPr>
          <w:rStyle w:val="Strong"/>
        </w:rPr>
        <w:t xml:space="preserve">Activities  </w:t>
      </w:r>
    </w:p>
    <w:p w:rsidR="00153AE9" w:rsidRPr="00AC2563" w:rsidRDefault="00153AE9" w:rsidP="00524FC9">
      <w:pPr>
        <w:rPr>
          <w:u w:val="single"/>
        </w:rPr>
      </w:pPr>
      <w:r w:rsidRPr="00AC2563">
        <w:rPr>
          <w:u w:val="single"/>
        </w:rPr>
        <w:t xml:space="preserve">Core Management Team: </w:t>
      </w:r>
      <w:r w:rsidR="003F7345" w:rsidRPr="00AC2563">
        <w:rPr>
          <w:u w:val="single"/>
        </w:rPr>
        <w:t>Kathy Myers, Chair</w:t>
      </w:r>
    </w:p>
    <w:p w:rsidR="00153AE9" w:rsidRPr="00B11A9D" w:rsidRDefault="00153AE9" w:rsidP="00F9158C">
      <w:pPr>
        <w:pStyle w:val="ListParagraph"/>
        <w:numPr>
          <w:ilvl w:val="0"/>
          <w:numId w:val="53"/>
        </w:numPr>
      </w:pPr>
      <w:r w:rsidRPr="00B11A9D">
        <w:t>Determine a process to coordinate the MDPHHS chronic disease plan with other relevant state plans.</w:t>
      </w:r>
    </w:p>
    <w:p w:rsidR="00057F0F" w:rsidRPr="00B11A9D" w:rsidRDefault="00153AE9" w:rsidP="00F9158C">
      <w:pPr>
        <w:pStyle w:val="ListParagraph"/>
        <w:numPr>
          <w:ilvl w:val="0"/>
          <w:numId w:val="53"/>
        </w:numPr>
      </w:pPr>
      <w:r w:rsidRPr="00B11A9D">
        <w:t>Assure that people with disabilities are adequately represented in the 5-year health incentives grant awarded in September of 2011.</w:t>
      </w:r>
    </w:p>
    <w:p w:rsidR="00153AE9" w:rsidRPr="00AC2563" w:rsidRDefault="00153AE9" w:rsidP="00524FC9">
      <w:pPr>
        <w:rPr>
          <w:u w:val="single"/>
        </w:rPr>
      </w:pPr>
      <w:r w:rsidRPr="00B11A9D">
        <w:rPr>
          <w:color w:val="000000" w:themeColor="text1"/>
        </w:rPr>
        <w:t xml:space="preserve"> </w:t>
      </w:r>
      <w:r w:rsidRPr="00AC2563">
        <w:rPr>
          <w:u w:val="single"/>
        </w:rPr>
        <w:t>MTDH:</w:t>
      </w:r>
      <w:r w:rsidRPr="00AC2563">
        <w:rPr>
          <w:color w:val="000000" w:themeColor="text1"/>
          <w:u w:val="single"/>
        </w:rPr>
        <w:t xml:space="preserve"> Meg Traci, PhD, PI, MTDH Program Director</w:t>
      </w:r>
    </w:p>
    <w:p w:rsidR="00B11A9D" w:rsidRPr="00AC2563" w:rsidRDefault="00153AE9" w:rsidP="00F9158C">
      <w:pPr>
        <w:pStyle w:val="ListParagraph"/>
        <w:numPr>
          <w:ilvl w:val="0"/>
          <w:numId w:val="55"/>
        </w:numPr>
        <w:rPr>
          <w:szCs w:val="22"/>
        </w:rPr>
      </w:pPr>
      <w:r w:rsidRPr="00B11A9D">
        <w:lastRenderedPageBreak/>
        <w:t xml:space="preserve">Explore </w:t>
      </w:r>
      <w:r w:rsidRPr="00AC2563">
        <w:rPr>
          <w:i/>
        </w:rPr>
        <w:t>National Institute of Health</w:t>
      </w:r>
      <w:r w:rsidRPr="00B11A9D">
        <w:t xml:space="preserve"> </w:t>
      </w:r>
      <w:r w:rsidRPr="00AC2563">
        <w:rPr>
          <w:i/>
        </w:rPr>
        <w:t>(NIH)</w:t>
      </w:r>
      <w:r w:rsidRPr="00B11A9D">
        <w:t xml:space="preserve"> new</w:t>
      </w:r>
      <w:r w:rsidRPr="00AC2563">
        <w:rPr>
          <w:i/>
        </w:rPr>
        <w:t xml:space="preserve"> </w:t>
      </w:r>
      <w:r w:rsidRPr="00B11A9D">
        <w:t>intervention research priorities for children with mobility impairments.</w:t>
      </w:r>
    </w:p>
    <w:p w:rsidR="00153AE9" w:rsidRPr="00B11A9D" w:rsidRDefault="00153AE9" w:rsidP="00F9158C">
      <w:pPr>
        <w:pStyle w:val="ListParagraph"/>
        <w:numPr>
          <w:ilvl w:val="0"/>
          <w:numId w:val="55"/>
        </w:numPr>
      </w:pPr>
      <w:r w:rsidRPr="00B11A9D">
        <w:t xml:space="preserve">Design modules </w:t>
      </w:r>
      <w:r w:rsidR="00AC2563">
        <w:t>for data-based decision making.</w:t>
      </w:r>
    </w:p>
    <w:p w:rsidR="00B11A9D" w:rsidRPr="00AC2563" w:rsidRDefault="00153AE9" w:rsidP="00F9158C">
      <w:pPr>
        <w:pStyle w:val="ListParagraph"/>
        <w:numPr>
          <w:ilvl w:val="0"/>
          <w:numId w:val="55"/>
        </w:numPr>
        <w:rPr>
          <w:szCs w:val="22"/>
        </w:rPr>
      </w:pPr>
      <w:r w:rsidRPr="00B11A9D">
        <w:t>Explore the possibility of UM Psychology Department graduate students collecting original data that could be used to draft analytical reports for the MDPHHS.</w:t>
      </w:r>
    </w:p>
    <w:p w:rsidR="00153AE9" w:rsidRPr="00B11A9D" w:rsidRDefault="00153AE9" w:rsidP="00F9158C">
      <w:pPr>
        <w:pStyle w:val="ListParagraph"/>
        <w:numPr>
          <w:ilvl w:val="0"/>
          <w:numId w:val="55"/>
        </w:numPr>
      </w:pPr>
      <w:r w:rsidRPr="00B11A9D">
        <w:t>Act as liaison between MTDH staff and MDPHHS staff.</w:t>
      </w:r>
    </w:p>
    <w:p w:rsidR="00153AE9" w:rsidRPr="00AC2563" w:rsidRDefault="00153AE9" w:rsidP="00524FC9">
      <w:pPr>
        <w:rPr>
          <w:u w:val="single"/>
        </w:rPr>
      </w:pPr>
      <w:r w:rsidRPr="00AC2563">
        <w:rPr>
          <w:u w:val="single"/>
        </w:rPr>
        <w:t xml:space="preserve">PHSD Chronic Disease &amp; Health Promotion Bureau: </w:t>
      </w:r>
      <w:r w:rsidR="003F7345" w:rsidRPr="00AC2563">
        <w:rPr>
          <w:u w:val="single"/>
        </w:rPr>
        <w:t>Kathy Myers</w:t>
      </w:r>
      <w:r w:rsidRPr="00AC2563">
        <w:rPr>
          <w:u w:val="single"/>
        </w:rPr>
        <w:t>, Chief</w:t>
      </w:r>
    </w:p>
    <w:p w:rsidR="00153AE9" w:rsidRPr="00B11A9D" w:rsidRDefault="00153AE9" w:rsidP="00F9158C">
      <w:pPr>
        <w:pStyle w:val="ListParagraph"/>
        <w:numPr>
          <w:ilvl w:val="0"/>
          <w:numId w:val="56"/>
        </w:numPr>
      </w:pPr>
      <w:r w:rsidRPr="00B11A9D">
        <w:t>Prepare a state chronic disease plan that includes collaborative projects with MTDH.</w:t>
      </w:r>
    </w:p>
    <w:p w:rsidR="00153AE9" w:rsidRDefault="00153AE9" w:rsidP="00F9158C">
      <w:pPr>
        <w:pStyle w:val="ListParagraph"/>
        <w:numPr>
          <w:ilvl w:val="0"/>
          <w:numId w:val="56"/>
        </w:numPr>
      </w:pPr>
      <w:r w:rsidRPr="00B11A9D">
        <w:t>Identify six Montana communities (funded through the Healthy Homes grant) to conduct home visiting assessments. Group homes and/or small assisted living facilities will be included.</w:t>
      </w:r>
    </w:p>
    <w:p w:rsidR="00153AE9" w:rsidRPr="00AC2563" w:rsidRDefault="00153AE9" w:rsidP="00F9158C">
      <w:pPr>
        <w:pStyle w:val="ListParagraph"/>
        <w:numPr>
          <w:ilvl w:val="0"/>
          <w:numId w:val="56"/>
        </w:numPr>
        <w:rPr>
          <w:b/>
        </w:rPr>
      </w:pPr>
      <w:r w:rsidRPr="00B11A9D">
        <w:t>Collaborate with MTDH to measure the effectiveness of a five-year CMS grant to provide incentives to Medicaid beneficiaries of all ages who participate in prevention programs and demonstrate changes in health risks and outcomes, including the adoption of healthy behaviors.</w:t>
      </w:r>
    </w:p>
    <w:p w:rsidR="00153AE9" w:rsidRPr="00AC2563" w:rsidRDefault="00153AE9" w:rsidP="00524FC9">
      <w:pPr>
        <w:rPr>
          <w:u w:val="single"/>
        </w:rPr>
      </w:pPr>
      <w:r w:rsidRPr="00AC2563">
        <w:rPr>
          <w:u w:val="single"/>
        </w:rPr>
        <w:t>D</w:t>
      </w:r>
      <w:r w:rsidR="003F7345" w:rsidRPr="00AC2563">
        <w:rPr>
          <w:u w:val="single"/>
        </w:rPr>
        <w:t>evelopmental Services Division: Rebecca de Camara, Administrator</w:t>
      </w:r>
    </w:p>
    <w:p w:rsidR="00153AE9" w:rsidRPr="00B11A9D" w:rsidRDefault="00153AE9" w:rsidP="00F9158C">
      <w:pPr>
        <w:pStyle w:val="ListParagraph"/>
        <w:numPr>
          <w:ilvl w:val="0"/>
          <w:numId w:val="57"/>
        </w:numPr>
      </w:pPr>
      <w:r w:rsidRPr="00B11A9D">
        <w:t>Provide surveillance and data on health-related issues that impact the lives of people with disabilities.</w:t>
      </w:r>
    </w:p>
    <w:p w:rsidR="00153AE9" w:rsidRDefault="00153AE9" w:rsidP="00F9158C">
      <w:pPr>
        <w:pStyle w:val="ListParagraph"/>
        <w:numPr>
          <w:ilvl w:val="0"/>
          <w:numId w:val="57"/>
        </w:numPr>
      </w:pPr>
      <w:r w:rsidRPr="00B11A9D">
        <w:t>Collaborate with MTDH to design modules for data-based decision making.</w:t>
      </w:r>
    </w:p>
    <w:p w:rsidR="00147802" w:rsidRPr="00BA2680" w:rsidRDefault="00AC2563" w:rsidP="00BA2680">
      <w:pPr>
        <w:rPr>
          <w:rStyle w:val="Strong"/>
        </w:rPr>
      </w:pPr>
      <w:r w:rsidRPr="00BA2680">
        <w:rPr>
          <w:rStyle w:val="Strong"/>
        </w:rPr>
        <w:t>Objective 1B</w:t>
      </w:r>
    </w:p>
    <w:p w:rsidR="00AC2563" w:rsidRPr="00AC2563" w:rsidRDefault="00AC2563" w:rsidP="00BA2680">
      <w:pPr>
        <w:rPr>
          <w:rStyle w:val="Strong"/>
        </w:rPr>
      </w:pPr>
      <w:r w:rsidRPr="00AC2563">
        <w:rPr>
          <w:rStyle w:val="Strong"/>
        </w:rPr>
        <w:t>By January of 2013, the UMRI will: 1) develop training materials for public health professionals; and 2)  provide technical assistance to  Life Style Coaches at 15 diabetes prevention  statewide program sites.</w:t>
      </w:r>
    </w:p>
    <w:p w:rsidR="003F6608" w:rsidRPr="00AC2563" w:rsidRDefault="003F6608" w:rsidP="00E87106">
      <w:pPr>
        <w:rPr>
          <w:rStyle w:val="Strong"/>
        </w:rPr>
      </w:pPr>
      <w:r w:rsidRPr="00AC2563">
        <w:rPr>
          <w:rStyle w:val="Strong"/>
        </w:rPr>
        <w:t xml:space="preserve">Rationale </w:t>
      </w:r>
    </w:p>
    <w:p w:rsidR="003F6608" w:rsidRPr="003F6608" w:rsidRDefault="003F6608" w:rsidP="00067FEC">
      <w:pPr>
        <w:spacing w:before="120" w:after="240"/>
        <w:rPr>
          <w:rFonts w:eastAsia="Times New Roman" w:cs="Arial"/>
          <w:bCs/>
        </w:rPr>
      </w:pPr>
      <w:r w:rsidRPr="003F6608">
        <w:rPr>
          <w:rFonts w:eastAsia="Times New Roman" w:cs="Arial"/>
          <w:bCs/>
        </w:rPr>
        <w:t xml:space="preserve">The Rural Institute has developed an impressive history of recruiting and training undergraduate students, graduate students, and professionals who are interested in working with PWD and offering quality assistance for their individual needs. </w:t>
      </w:r>
    </w:p>
    <w:p w:rsidR="00AC2563" w:rsidRDefault="003F6608" w:rsidP="00AC2563">
      <w:pPr>
        <w:rPr>
          <w:rStyle w:val="Strong"/>
        </w:rPr>
      </w:pPr>
      <w:r w:rsidRPr="00AC2563">
        <w:rPr>
          <w:rStyle w:val="Strong"/>
        </w:rPr>
        <w:t>Activities</w:t>
      </w:r>
    </w:p>
    <w:p w:rsidR="003F6608" w:rsidRPr="00AC2563" w:rsidRDefault="003F6608" w:rsidP="00AC2563">
      <w:pPr>
        <w:rPr>
          <w:u w:val="single"/>
        </w:rPr>
      </w:pPr>
      <w:r w:rsidRPr="00AC2563">
        <w:rPr>
          <w:u w:val="single"/>
        </w:rPr>
        <w:t>MTDH: Meg Traci, PhD, PI, Program Director</w:t>
      </w:r>
    </w:p>
    <w:p w:rsidR="003F6608" w:rsidRPr="00AC2563" w:rsidRDefault="003F6608" w:rsidP="00F9158C">
      <w:pPr>
        <w:pStyle w:val="ListParagraph"/>
        <w:numPr>
          <w:ilvl w:val="0"/>
          <w:numId w:val="58"/>
        </w:numPr>
      </w:pPr>
      <w:r w:rsidRPr="003F6608">
        <w:t>Develop a clear and concise position description for potential Life Style Coaches.</w:t>
      </w:r>
    </w:p>
    <w:p w:rsidR="0038310D" w:rsidRPr="00AC2563" w:rsidRDefault="003F6608" w:rsidP="00F9158C">
      <w:pPr>
        <w:pStyle w:val="ListParagraph"/>
        <w:numPr>
          <w:ilvl w:val="0"/>
          <w:numId w:val="58"/>
        </w:numPr>
      </w:pPr>
      <w:r>
        <w:t xml:space="preserve">Publish the position description </w:t>
      </w:r>
      <w:r w:rsidR="0038310D">
        <w:t xml:space="preserve">on </w:t>
      </w:r>
      <w:r>
        <w:t>relevant websites and within pertinent UM departments.</w:t>
      </w:r>
    </w:p>
    <w:p w:rsidR="0038310D" w:rsidRPr="00AC2563" w:rsidRDefault="003F6608" w:rsidP="00F9158C">
      <w:pPr>
        <w:pStyle w:val="ListParagraph"/>
        <w:numPr>
          <w:ilvl w:val="0"/>
          <w:numId w:val="58"/>
        </w:numPr>
      </w:pPr>
      <w:r w:rsidRPr="003F6608">
        <w:t>Develop criteria for successful candidates.</w:t>
      </w:r>
    </w:p>
    <w:p w:rsidR="00AC2563" w:rsidRDefault="003F6608" w:rsidP="00F9158C">
      <w:pPr>
        <w:pStyle w:val="ListParagraph"/>
        <w:numPr>
          <w:ilvl w:val="0"/>
          <w:numId w:val="58"/>
        </w:numPr>
      </w:pPr>
      <w:r w:rsidRPr="003F6608">
        <w:t>Identify potential interviewers and determine if they are interested and available.</w:t>
      </w:r>
    </w:p>
    <w:p w:rsidR="0038310D" w:rsidRPr="00AC2563" w:rsidRDefault="003F6608" w:rsidP="00F9158C">
      <w:pPr>
        <w:pStyle w:val="ListParagraph"/>
        <w:numPr>
          <w:ilvl w:val="0"/>
          <w:numId w:val="58"/>
        </w:numPr>
      </w:pPr>
      <w:r w:rsidRPr="0038310D">
        <w:lastRenderedPageBreak/>
        <w:t>Develop interview questions that cover the fundamental principles and duties of Life Style Coaches.</w:t>
      </w:r>
      <w:r w:rsidR="0038310D" w:rsidRPr="0038310D">
        <w:t xml:space="preserve"> </w:t>
      </w:r>
    </w:p>
    <w:p w:rsidR="003F6608" w:rsidRPr="00BA2680" w:rsidRDefault="003F6608" w:rsidP="00F9158C">
      <w:pPr>
        <w:pStyle w:val="ListParagraph"/>
        <w:numPr>
          <w:ilvl w:val="0"/>
          <w:numId w:val="58"/>
        </w:numPr>
      </w:pPr>
      <w:r w:rsidRPr="003F6608">
        <w:t>Hire and train successful candidates.</w:t>
      </w:r>
    </w:p>
    <w:p w:rsidR="009C315E" w:rsidRPr="00AC2563" w:rsidRDefault="003F6608" w:rsidP="00F9158C">
      <w:pPr>
        <w:pStyle w:val="ListParagraph"/>
        <w:numPr>
          <w:ilvl w:val="0"/>
          <w:numId w:val="58"/>
        </w:numPr>
      </w:pPr>
      <w:r w:rsidRPr="0038310D">
        <w:t>Provide a tour of MonTech to inform Life Style Coaches about available communica</w:t>
      </w:r>
      <w:r w:rsidR="009C315E">
        <w:t>-</w:t>
      </w:r>
      <w:r w:rsidRPr="0038310D">
        <w:t xml:space="preserve">tions technology. </w:t>
      </w:r>
    </w:p>
    <w:p w:rsidR="009C315E" w:rsidRPr="00AC2563" w:rsidRDefault="003F6608" w:rsidP="00F9158C">
      <w:pPr>
        <w:pStyle w:val="ListParagraph"/>
        <w:numPr>
          <w:ilvl w:val="0"/>
          <w:numId w:val="58"/>
        </w:numPr>
      </w:pPr>
      <w:r w:rsidRPr="0038310D">
        <w:t>Develop a brochure to assist Life Style Coaches in understanding the special equipment needs of persons with disabilities (e.g. mammography).</w:t>
      </w:r>
    </w:p>
    <w:p w:rsidR="009C315E" w:rsidRPr="00AC2563" w:rsidRDefault="003F6608" w:rsidP="00F9158C">
      <w:pPr>
        <w:pStyle w:val="ListParagraph"/>
        <w:numPr>
          <w:ilvl w:val="0"/>
          <w:numId w:val="58"/>
        </w:numPr>
      </w:pPr>
      <w:r w:rsidRPr="0038310D">
        <w:t xml:space="preserve">Include Life Style Coaches in </w:t>
      </w:r>
      <w:r w:rsidRPr="00AC2563">
        <w:rPr>
          <w:i/>
        </w:rPr>
        <w:t>Disability Cultural Sensitivity</w:t>
      </w:r>
      <w:r w:rsidRPr="0038310D">
        <w:t xml:space="preserve"> webinar training.</w:t>
      </w:r>
    </w:p>
    <w:p w:rsidR="009C315E" w:rsidRPr="00AC2563" w:rsidRDefault="003F6608" w:rsidP="00F9158C">
      <w:pPr>
        <w:pStyle w:val="ListParagraph"/>
        <w:numPr>
          <w:ilvl w:val="0"/>
          <w:numId w:val="58"/>
        </w:numPr>
      </w:pPr>
      <w:r w:rsidRPr="0038310D">
        <w:t xml:space="preserve">Include Life Style Coaches in the problem-solving section of </w:t>
      </w:r>
      <w:r w:rsidRPr="00AC2563">
        <w:rPr>
          <w:i/>
        </w:rPr>
        <w:t>Living Well with a Disability</w:t>
      </w:r>
      <w:r w:rsidRPr="0038310D">
        <w:t xml:space="preserve"> facilitator training.</w:t>
      </w:r>
    </w:p>
    <w:p w:rsidR="009C315E" w:rsidRPr="00AC2563" w:rsidRDefault="003F6608" w:rsidP="00F9158C">
      <w:pPr>
        <w:pStyle w:val="ListParagraph"/>
        <w:numPr>
          <w:ilvl w:val="0"/>
          <w:numId w:val="58"/>
        </w:numPr>
      </w:pPr>
      <w:r w:rsidRPr="0038310D">
        <w:t>Assure that Life Style Coaches are well-versed in current referral processes for mental health problems.</w:t>
      </w:r>
    </w:p>
    <w:p w:rsidR="009C315E" w:rsidRPr="00AC2563" w:rsidRDefault="003F6608" w:rsidP="00F9158C">
      <w:pPr>
        <w:pStyle w:val="ListParagraph"/>
        <w:numPr>
          <w:ilvl w:val="0"/>
          <w:numId w:val="58"/>
        </w:numPr>
      </w:pPr>
      <w:r w:rsidRPr="0038310D">
        <w:t>Identify possible teaching supports for persons with intellectual or developmental disabilities.</w:t>
      </w:r>
    </w:p>
    <w:p w:rsidR="009C315E" w:rsidRPr="00AC2563" w:rsidRDefault="003F6608" w:rsidP="00F9158C">
      <w:pPr>
        <w:pStyle w:val="ListParagraph"/>
        <w:numPr>
          <w:ilvl w:val="0"/>
          <w:numId w:val="58"/>
        </w:numPr>
      </w:pPr>
      <w:r w:rsidRPr="0038310D">
        <w:t>Host a fitness workshop for Life Style Coaches, incorporating elements of the ACSM/ NCPAD.</w:t>
      </w:r>
    </w:p>
    <w:p w:rsidR="00173D75" w:rsidRPr="00173D75" w:rsidRDefault="003F6608" w:rsidP="00F9158C">
      <w:pPr>
        <w:pStyle w:val="ListParagraph"/>
        <w:numPr>
          <w:ilvl w:val="0"/>
          <w:numId w:val="58"/>
        </w:numPr>
      </w:pPr>
      <w:r w:rsidRPr="0038310D">
        <w:t>Provide technical assistance as needed.</w:t>
      </w:r>
    </w:p>
    <w:p w:rsidR="00AC2563" w:rsidRPr="00147802" w:rsidRDefault="00AC2563" w:rsidP="00147802">
      <w:pPr>
        <w:rPr>
          <w:rStyle w:val="Strong"/>
        </w:rPr>
      </w:pPr>
      <w:r w:rsidRPr="00147802">
        <w:rPr>
          <w:rStyle w:val="Strong"/>
        </w:rPr>
        <w:t>Objective 1C</w:t>
      </w:r>
    </w:p>
    <w:p w:rsidR="00096FA8" w:rsidRPr="00147802" w:rsidRDefault="005674D0" w:rsidP="00147802">
      <w:pPr>
        <w:rPr>
          <w:rStyle w:val="Strong"/>
        </w:rPr>
      </w:pPr>
      <w:r>
        <w:rPr>
          <w:rStyle w:val="Strong"/>
        </w:rPr>
        <w:t xml:space="preserve">By </w:t>
      </w:r>
      <w:r w:rsidR="00AC2563" w:rsidRPr="00147802">
        <w:rPr>
          <w:rStyle w:val="Strong"/>
        </w:rPr>
        <w:t>June 30, 2015, MTDH staff and partners will have successfully acquired at least $300,000 of ongoing funding for implementation of this strategic plan. Opportunities to expand the program will be identified and incorporated into the plan as funding is secured.</w:t>
      </w:r>
    </w:p>
    <w:p w:rsidR="00066B2E" w:rsidRPr="00AC2563" w:rsidRDefault="00066B2E" w:rsidP="00AC2563">
      <w:pPr>
        <w:rPr>
          <w:rStyle w:val="Strong"/>
        </w:rPr>
      </w:pPr>
      <w:r w:rsidRPr="00AC2563">
        <w:rPr>
          <w:rStyle w:val="Strong"/>
        </w:rPr>
        <w:t>Rationale</w:t>
      </w:r>
    </w:p>
    <w:p w:rsidR="00066B2E" w:rsidRPr="00E87106" w:rsidRDefault="00066B2E" w:rsidP="00AC2563">
      <w:r w:rsidRPr="00E87106">
        <w:t>Because of increased populations of persons with disabilities, the MTDH Program must expand the capacity to meet its overall mission of improving the health and independence of people with disabilities.</w:t>
      </w:r>
    </w:p>
    <w:p w:rsidR="00066B2E" w:rsidRPr="00AC2563" w:rsidRDefault="00066B2E" w:rsidP="00AC2563">
      <w:pPr>
        <w:rPr>
          <w:rStyle w:val="Strong"/>
        </w:rPr>
      </w:pPr>
      <w:r w:rsidRPr="00AC2563">
        <w:rPr>
          <w:rStyle w:val="Strong"/>
        </w:rPr>
        <w:t xml:space="preserve">Activities </w:t>
      </w:r>
    </w:p>
    <w:p w:rsidR="00066B2E" w:rsidRPr="00AC2563" w:rsidRDefault="00066B2E" w:rsidP="00AC2563">
      <w:pPr>
        <w:rPr>
          <w:u w:val="single"/>
        </w:rPr>
      </w:pPr>
      <w:r w:rsidRPr="00AC2563">
        <w:rPr>
          <w:u w:val="single"/>
        </w:rPr>
        <w:t>MTDH: Meg Traci, PhD, PI, MTDH Program Director</w:t>
      </w:r>
    </w:p>
    <w:p w:rsidR="00066B2E" w:rsidRPr="00AC2563" w:rsidRDefault="00066B2E" w:rsidP="00F9158C">
      <w:pPr>
        <w:pStyle w:val="ListParagraph"/>
        <w:numPr>
          <w:ilvl w:val="0"/>
          <w:numId w:val="59"/>
        </w:numPr>
        <w:tabs>
          <w:tab w:val="left" w:pos="900"/>
        </w:tabs>
        <w:spacing w:after="120"/>
        <w:rPr>
          <w:rFonts w:cs="Arial"/>
        </w:rPr>
      </w:pPr>
      <w:r w:rsidRPr="00AC2563">
        <w:rPr>
          <w:rFonts w:cs="Arial"/>
        </w:rPr>
        <w:t>Continuously identify and pursue opportunities for collaboration</w:t>
      </w:r>
    </w:p>
    <w:p w:rsidR="00066B2E" w:rsidRPr="008369E0" w:rsidRDefault="00066B2E" w:rsidP="00AC2563">
      <w:pPr>
        <w:pStyle w:val="ListParagraph"/>
        <w:numPr>
          <w:ilvl w:val="0"/>
          <w:numId w:val="0"/>
        </w:numPr>
        <w:tabs>
          <w:tab w:val="left" w:pos="900"/>
        </w:tabs>
        <w:ind w:left="360"/>
        <w:rPr>
          <w:rFonts w:cs="Arial"/>
          <w:sz w:val="6"/>
          <w:szCs w:val="6"/>
        </w:rPr>
      </w:pPr>
    </w:p>
    <w:p w:rsidR="00066B2E" w:rsidRPr="00AC2563" w:rsidRDefault="00066B2E" w:rsidP="00F9158C">
      <w:pPr>
        <w:pStyle w:val="ListParagraph"/>
        <w:numPr>
          <w:ilvl w:val="0"/>
          <w:numId w:val="59"/>
        </w:numPr>
        <w:tabs>
          <w:tab w:val="left" w:pos="900"/>
        </w:tabs>
        <w:spacing w:after="120"/>
        <w:rPr>
          <w:rFonts w:cs="Arial"/>
        </w:rPr>
      </w:pPr>
      <w:r w:rsidRPr="00AC2563">
        <w:rPr>
          <w:rFonts w:cs="Arial"/>
        </w:rPr>
        <w:t>Identify and apply for relevant competitive grants</w:t>
      </w:r>
    </w:p>
    <w:p w:rsidR="00066B2E" w:rsidRPr="008369E0" w:rsidRDefault="00066B2E" w:rsidP="00AC2563">
      <w:pPr>
        <w:pStyle w:val="ListParagraph"/>
        <w:numPr>
          <w:ilvl w:val="0"/>
          <w:numId w:val="0"/>
        </w:numPr>
        <w:tabs>
          <w:tab w:val="left" w:pos="900"/>
        </w:tabs>
        <w:spacing w:after="120"/>
        <w:ind w:left="360"/>
        <w:rPr>
          <w:rFonts w:cs="Arial"/>
          <w:sz w:val="6"/>
          <w:szCs w:val="6"/>
        </w:rPr>
      </w:pPr>
    </w:p>
    <w:p w:rsidR="00066B2E" w:rsidRPr="00AC2563" w:rsidRDefault="00066B2E" w:rsidP="00F9158C">
      <w:pPr>
        <w:pStyle w:val="ListParagraph"/>
        <w:numPr>
          <w:ilvl w:val="0"/>
          <w:numId w:val="59"/>
        </w:numPr>
        <w:tabs>
          <w:tab w:val="left" w:pos="900"/>
        </w:tabs>
        <w:spacing w:after="80"/>
        <w:rPr>
          <w:rFonts w:cs="Arial"/>
        </w:rPr>
      </w:pPr>
      <w:r w:rsidRPr="00AC2563">
        <w:rPr>
          <w:rFonts w:cs="Arial"/>
        </w:rPr>
        <w:t>Seek support from private foundations, corporations and community partners</w:t>
      </w:r>
    </w:p>
    <w:p w:rsidR="00066B2E" w:rsidRPr="008369E0" w:rsidRDefault="00066B2E" w:rsidP="00AC2563">
      <w:pPr>
        <w:pStyle w:val="ListParagraph"/>
        <w:numPr>
          <w:ilvl w:val="0"/>
          <w:numId w:val="0"/>
        </w:numPr>
        <w:tabs>
          <w:tab w:val="left" w:pos="900"/>
        </w:tabs>
        <w:spacing w:after="80"/>
        <w:ind w:left="360"/>
        <w:rPr>
          <w:rFonts w:cs="Arial"/>
          <w:sz w:val="6"/>
          <w:szCs w:val="6"/>
        </w:rPr>
      </w:pPr>
    </w:p>
    <w:p w:rsidR="00054CF1" w:rsidRDefault="00066B2E" w:rsidP="00F9158C">
      <w:pPr>
        <w:pStyle w:val="ListParagraph"/>
        <w:numPr>
          <w:ilvl w:val="0"/>
          <w:numId w:val="59"/>
        </w:numPr>
        <w:tabs>
          <w:tab w:val="left" w:pos="900"/>
        </w:tabs>
        <w:spacing w:after="360"/>
        <w:rPr>
          <w:rFonts w:cs="Arial"/>
        </w:rPr>
        <w:sectPr w:rsidR="00054CF1" w:rsidSect="00A07593">
          <w:pgSz w:w="12240" w:h="15840"/>
          <w:pgMar w:top="1440" w:right="1440" w:bottom="1440" w:left="1440" w:header="720" w:footer="720" w:gutter="0"/>
          <w:cols w:space="720"/>
          <w:docGrid w:linePitch="360"/>
        </w:sectPr>
      </w:pPr>
      <w:r w:rsidRPr="00AC2563">
        <w:rPr>
          <w:rFonts w:cs="Arial"/>
        </w:rPr>
        <w:t xml:space="preserve">Develop two grant proposals focused on early intervention strategies targeted toward children with disabilities and submit to the </w:t>
      </w:r>
      <w:r w:rsidRPr="00AC2563">
        <w:rPr>
          <w:rFonts w:cs="Arial"/>
          <w:i/>
        </w:rPr>
        <w:t xml:space="preserve">National Institutes </w:t>
      </w:r>
      <w:r w:rsidRPr="00AC2563">
        <w:rPr>
          <w:rFonts w:cs="Arial"/>
        </w:rPr>
        <w:t>of Health (NIH) as well as other funders who</w:t>
      </w:r>
      <w:r w:rsidR="00054CF1">
        <w:rPr>
          <w:rFonts w:cs="Arial"/>
        </w:rPr>
        <w:t xml:space="preserve"> may be interested in this work.</w:t>
      </w:r>
    </w:p>
    <w:p w:rsidR="00054CF1" w:rsidRPr="00054CF1" w:rsidRDefault="00054CF1" w:rsidP="00054CF1">
      <w:pPr>
        <w:rPr>
          <w:rStyle w:val="Strong"/>
        </w:rPr>
      </w:pPr>
      <w:r w:rsidRPr="00054CF1">
        <w:rPr>
          <w:rStyle w:val="Strong"/>
        </w:rPr>
        <w:lastRenderedPageBreak/>
        <w:t>Objective 1D</w:t>
      </w:r>
    </w:p>
    <w:p w:rsidR="00054CF1" w:rsidRPr="00054CF1" w:rsidRDefault="00054CF1" w:rsidP="00054CF1">
      <w:pPr>
        <w:rPr>
          <w:rStyle w:val="Strong"/>
        </w:rPr>
      </w:pPr>
      <w:r w:rsidRPr="00054CF1">
        <w:rPr>
          <w:rStyle w:val="Strong"/>
        </w:rPr>
        <w:t>By September 1, 2014, develop two grant proposals focused on early intervention strategies targeted toward children with disabilities and submit the proposals to the National Institutes of Health (NIH) as well as other funders who may be interested in this work.</w:t>
      </w:r>
    </w:p>
    <w:p w:rsidR="00C7152A" w:rsidRPr="00AC2563" w:rsidRDefault="00C7152A" w:rsidP="00AC2563">
      <w:pPr>
        <w:rPr>
          <w:rStyle w:val="Strong"/>
        </w:rPr>
      </w:pPr>
      <w:r w:rsidRPr="00AC2563">
        <w:rPr>
          <w:rStyle w:val="Strong"/>
        </w:rPr>
        <w:t>Rationale</w:t>
      </w:r>
    </w:p>
    <w:p w:rsidR="00C7152A" w:rsidRPr="00C7152A" w:rsidRDefault="00C7152A" w:rsidP="00AC2563">
      <w:r w:rsidRPr="00C7152A">
        <w:t xml:space="preserve">The UMRI and the MTDH have developed an impressive record of designing programs that work well for adults with disabilities.  NIH funding would provide an opportunity to partner with Montana organizations and state agencies that target youth with disabilities. </w:t>
      </w:r>
    </w:p>
    <w:p w:rsidR="00C7152A" w:rsidRPr="00AC2563" w:rsidRDefault="00C7152A" w:rsidP="00E87106">
      <w:pPr>
        <w:rPr>
          <w:rStyle w:val="Strong"/>
        </w:rPr>
      </w:pPr>
      <w:r w:rsidRPr="00AC2563">
        <w:rPr>
          <w:rStyle w:val="Strong"/>
        </w:rPr>
        <w:t xml:space="preserve">Activities </w:t>
      </w:r>
    </w:p>
    <w:p w:rsidR="00C7152A" w:rsidRPr="00C7152A" w:rsidRDefault="00C7152A" w:rsidP="00AC2563">
      <w:pPr>
        <w:spacing w:after="120"/>
        <w:rPr>
          <w:rFonts w:cs="Arial"/>
          <w:u w:val="single"/>
        </w:rPr>
      </w:pPr>
      <w:r w:rsidRPr="00C7152A">
        <w:rPr>
          <w:rFonts w:cs="Arial"/>
          <w:u w:val="single"/>
        </w:rPr>
        <w:t>MTDH:</w:t>
      </w:r>
      <w:r w:rsidRPr="00C7152A">
        <w:rPr>
          <w:rFonts w:cs="Arial"/>
          <w:color w:val="000000" w:themeColor="text1"/>
          <w:u w:val="single"/>
        </w:rPr>
        <w:t xml:space="preserve"> Meg Traci, PhD, PI, MTDH Program Director</w:t>
      </w:r>
    </w:p>
    <w:p w:rsidR="00C7152A" w:rsidRPr="00AC2563" w:rsidRDefault="00C7152A" w:rsidP="00F9158C">
      <w:pPr>
        <w:pStyle w:val="ListParagraph"/>
        <w:numPr>
          <w:ilvl w:val="0"/>
          <w:numId w:val="60"/>
        </w:numPr>
        <w:spacing w:after="120"/>
        <w:rPr>
          <w:rFonts w:cs="Arial"/>
        </w:rPr>
      </w:pPr>
      <w:r w:rsidRPr="00AC2563">
        <w:rPr>
          <w:rFonts w:cs="Arial"/>
        </w:rPr>
        <w:t>Determine NIH funding priorities and deadlines for application.</w:t>
      </w:r>
    </w:p>
    <w:p w:rsidR="00C7152A" w:rsidRPr="005957D0" w:rsidRDefault="00C7152A" w:rsidP="00AC2563">
      <w:pPr>
        <w:pStyle w:val="ListParagraph"/>
        <w:numPr>
          <w:ilvl w:val="0"/>
          <w:numId w:val="0"/>
        </w:numPr>
        <w:spacing w:after="120"/>
        <w:ind w:left="720"/>
        <w:rPr>
          <w:rFonts w:cs="Arial"/>
          <w:sz w:val="6"/>
          <w:szCs w:val="6"/>
        </w:rPr>
      </w:pPr>
    </w:p>
    <w:p w:rsidR="00C7152A" w:rsidRPr="00AC2563" w:rsidRDefault="00C7152A" w:rsidP="00F9158C">
      <w:pPr>
        <w:pStyle w:val="ListParagraph"/>
        <w:numPr>
          <w:ilvl w:val="0"/>
          <w:numId w:val="60"/>
        </w:numPr>
        <w:rPr>
          <w:rFonts w:cs="Arial"/>
        </w:rPr>
      </w:pPr>
      <w:r w:rsidRPr="00AC2563">
        <w:rPr>
          <w:rFonts w:cs="Arial"/>
        </w:rPr>
        <w:t xml:space="preserve">Identify appropriate statewide partners. </w:t>
      </w:r>
    </w:p>
    <w:p w:rsidR="00C7152A" w:rsidRPr="005957D0" w:rsidRDefault="00C7152A" w:rsidP="00AC2563">
      <w:pPr>
        <w:pStyle w:val="ListParagraph"/>
        <w:numPr>
          <w:ilvl w:val="0"/>
          <w:numId w:val="0"/>
        </w:numPr>
        <w:ind w:left="720"/>
        <w:rPr>
          <w:rFonts w:cs="Arial"/>
          <w:sz w:val="6"/>
          <w:szCs w:val="6"/>
        </w:rPr>
      </w:pPr>
    </w:p>
    <w:p w:rsidR="00C7152A" w:rsidRPr="00AC2563" w:rsidRDefault="00C7152A" w:rsidP="00F9158C">
      <w:pPr>
        <w:pStyle w:val="ListParagraph"/>
        <w:numPr>
          <w:ilvl w:val="0"/>
          <w:numId w:val="60"/>
        </w:numPr>
        <w:spacing w:after="120"/>
        <w:rPr>
          <w:rFonts w:cs="Arial"/>
          <w:i/>
        </w:rPr>
      </w:pPr>
      <w:r w:rsidRPr="00AC2563">
        <w:rPr>
          <w:rFonts w:cs="Arial"/>
        </w:rPr>
        <w:t xml:space="preserve">By September 1, 2014, submit grant application for </w:t>
      </w:r>
      <w:r w:rsidRPr="00AC2563">
        <w:rPr>
          <w:rFonts w:cs="Arial"/>
          <w:i/>
        </w:rPr>
        <w:t>Health Promotion for Children with Physical Disabilities through Physical Activity and Diet: Developing an Evidence Base</w:t>
      </w:r>
      <w:r w:rsidRPr="00C7152A">
        <w:rPr>
          <w:rStyle w:val="FootnoteReference"/>
          <w:rFonts w:cs="Arial"/>
          <w:i/>
          <w:szCs w:val="22"/>
        </w:rPr>
        <w:footnoteReference w:id="64"/>
      </w:r>
    </w:p>
    <w:p w:rsidR="00C7152A" w:rsidRPr="005957D0" w:rsidRDefault="00C7152A" w:rsidP="00AC2563">
      <w:pPr>
        <w:pStyle w:val="ListParagraph"/>
        <w:numPr>
          <w:ilvl w:val="0"/>
          <w:numId w:val="0"/>
        </w:numPr>
        <w:spacing w:after="120"/>
        <w:ind w:left="720"/>
        <w:rPr>
          <w:rFonts w:cs="Arial"/>
          <w:i/>
          <w:sz w:val="6"/>
          <w:szCs w:val="6"/>
        </w:rPr>
      </w:pPr>
    </w:p>
    <w:p w:rsidR="00C7152A" w:rsidRPr="00147802" w:rsidRDefault="00C7152A" w:rsidP="00F9158C">
      <w:pPr>
        <w:pStyle w:val="ListParagraph"/>
        <w:numPr>
          <w:ilvl w:val="0"/>
          <w:numId w:val="60"/>
        </w:numPr>
        <w:spacing w:after="120"/>
        <w:rPr>
          <w:rFonts w:cs="Arial"/>
          <w:i/>
        </w:rPr>
      </w:pPr>
      <w:r w:rsidRPr="00AC2563">
        <w:rPr>
          <w:rFonts w:cs="Arial"/>
        </w:rPr>
        <w:t xml:space="preserve">By September 1, 2014, submit grant application for </w:t>
      </w:r>
      <w:r w:rsidRPr="00AC2563">
        <w:rPr>
          <w:rFonts w:cs="Arial"/>
          <w:i/>
        </w:rPr>
        <w:t>Healthy Habits: Timing for Developing Sustainable Healthy Behaviors I Children and Adolescents (R03)</w:t>
      </w:r>
      <w:r w:rsidRPr="00C7152A">
        <w:rPr>
          <w:rStyle w:val="FootnoteReference"/>
          <w:rFonts w:cs="Arial"/>
          <w:i/>
          <w:szCs w:val="22"/>
        </w:rPr>
        <w:footnoteReference w:id="65"/>
      </w:r>
    </w:p>
    <w:p w:rsidR="00AC2563" w:rsidRPr="00147802" w:rsidRDefault="00AC2563" w:rsidP="00147802">
      <w:pPr>
        <w:rPr>
          <w:rStyle w:val="Strong"/>
        </w:rPr>
      </w:pPr>
      <w:r w:rsidRPr="00147802">
        <w:rPr>
          <w:rStyle w:val="Strong"/>
        </w:rPr>
        <w:t>Objective 1E</w:t>
      </w:r>
    </w:p>
    <w:p w:rsidR="005957D0" w:rsidRPr="00147802" w:rsidRDefault="00AC2563" w:rsidP="00147802">
      <w:pPr>
        <w:rPr>
          <w:rStyle w:val="Strong"/>
        </w:rPr>
      </w:pPr>
      <w:r w:rsidRPr="00147802">
        <w:rPr>
          <w:rStyle w:val="Strong"/>
        </w:rPr>
        <w:t xml:space="preserve">By September 1, 2013, prepare a list of Montana coalitions that specifically include people with disabilities in their areas of focus. </w:t>
      </w:r>
    </w:p>
    <w:p w:rsidR="005957D0" w:rsidRPr="00AC2563" w:rsidRDefault="005957D0" w:rsidP="00AC2563">
      <w:pPr>
        <w:rPr>
          <w:rStyle w:val="Strong"/>
        </w:rPr>
      </w:pPr>
      <w:r w:rsidRPr="00AC2563">
        <w:rPr>
          <w:rStyle w:val="Strong"/>
        </w:rPr>
        <w:t>Rationale</w:t>
      </w:r>
    </w:p>
    <w:p w:rsidR="005957D0" w:rsidRDefault="005957D0" w:rsidP="00AC2563">
      <w:pPr>
        <w:rPr>
          <w:rFonts w:cs="Arial"/>
        </w:rPr>
      </w:pPr>
      <w:r w:rsidRPr="005957D0">
        <w:rPr>
          <w:rFonts w:cs="Arial"/>
        </w:rPr>
        <w:t>In 2008, the Americans with Disabilities Amendments Act (ADAAA) reinterpreted the definition of “disability” to include protection for many individuals with impairments that were not previously included in the Americans with Disabilities Act (such as cancer, diabetes or epilepsy). The regulations were designed to simplify the determination of who has a “disability” and make it easier for people to establish that they are protected by the (ADA).</w:t>
      </w:r>
    </w:p>
    <w:p w:rsidR="00AC2563" w:rsidRPr="00147802" w:rsidRDefault="00AC2563" w:rsidP="00147802">
      <w:pPr>
        <w:rPr>
          <w:rStyle w:val="Strong"/>
        </w:rPr>
      </w:pPr>
      <w:r w:rsidRPr="00147802">
        <w:rPr>
          <w:rStyle w:val="Strong"/>
        </w:rPr>
        <w:t>Objective 1F</w:t>
      </w:r>
    </w:p>
    <w:p w:rsidR="00096FA8" w:rsidRPr="00147802" w:rsidRDefault="00AC2563" w:rsidP="00147802">
      <w:pPr>
        <w:rPr>
          <w:rStyle w:val="Strong"/>
        </w:rPr>
      </w:pPr>
      <w:r w:rsidRPr="00147802">
        <w:rPr>
          <w:rStyle w:val="Strong"/>
        </w:rPr>
        <w:t>By July 31, 2013, the MTDH will collaborate with the MTDPHHS,  Public Health and Safety Division to develop a Sustainability Plan.</w:t>
      </w:r>
    </w:p>
    <w:p w:rsidR="00067FEC" w:rsidRPr="00AC2563" w:rsidRDefault="00067FEC" w:rsidP="00AC2563">
      <w:pPr>
        <w:rPr>
          <w:rStyle w:val="Strong"/>
        </w:rPr>
      </w:pPr>
      <w:r w:rsidRPr="00AC2563">
        <w:rPr>
          <w:rStyle w:val="Strong"/>
        </w:rPr>
        <w:t>Rationale</w:t>
      </w:r>
    </w:p>
    <w:p w:rsidR="00067FEC" w:rsidRPr="00096FA8" w:rsidRDefault="00067FEC" w:rsidP="00AC2563">
      <w:pPr>
        <w:rPr>
          <w:rFonts w:cs="Arial"/>
        </w:rPr>
      </w:pPr>
      <w:r w:rsidRPr="00096FA8">
        <w:rPr>
          <w:rFonts w:cs="Arial"/>
        </w:rPr>
        <w:lastRenderedPageBreak/>
        <w:t xml:space="preserve">Because of several successful initiatives in the past several years, Montana is well positioned to initiate and sustain collaborative efforts across the state. </w:t>
      </w:r>
    </w:p>
    <w:p w:rsidR="00067FEC" w:rsidRPr="00096FA8" w:rsidRDefault="00067FEC" w:rsidP="00F9158C">
      <w:pPr>
        <w:pStyle w:val="Default"/>
        <w:numPr>
          <w:ilvl w:val="0"/>
          <w:numId w:val="11"/>
        </w:numPr>
        <w:spacing w:after="120" w:line="276" w:lineRule="auto"/>
        <w:rPr>
          <w:rFonts w:ascii="Arial" w:hAnsi="Arial" w:cs="Arial"/>
          <w:sz w:val="22"/>
          <w:szCs w:val="22"/>
        </w:rPr>
      </w:pPr>
      <w:r w:rsidRPr="00096FA8">
        <w:rPr>
          <w:rFonts w:ascii="Arial" w:hAnsi="Arial" w:cs="Arial"/>
          <w:sz w:val="22"/>
          <w:szCs w:val="22"/>
        </w:rPr>
        <w:t xml:space="preserve">In 2009, the Montana Legislature passed and the Governor signed into law House Bill 173. This legislation charged the MTDPHHS with implementing a </w:t>
      </w:r>
      <w:r w:rsidRPr="00096FA8">
        <w:rPr>
          <w:rFonts w:ascii="Arial" w:hAnsi="Arial" w:cs="Arial"/>
          <w:b/>
          <w:sz w:val="22"/>
          <w:szCs w:val="22"/>
        </w:rPr>
        <w:t>pilot project</w:t>
      </w:r>
      <w:r w:rsidRPr="00096FA8">
        <w:rPr>
          <w:rFonts w:ascii="Arial" w:hAnsi="Arial" w:cs="Arial"/>
          <w:sz w:val="22"/>
          <w:szCs w:val="22"/>
        </w:rPr>
        <w:t xml:space="preserve"> that provided local public health agencies with funding and technical assistance to assess their readiness and prepare for national voluntary public health accreditation. This effort was aimed at creating a </w:t>
      </w:r>
      <w:r w:rsidRPr="00096FA8">
        <w:rPr>
          <w:rFonts w:ascii="Arial" w:hAnsi="Arial" w:cs="Arial"/>
          <w:b/>
          <w:i/>
          <w:color w:val="404040" w:themeColor="text1" w:themeTint="BF"/>
          <w:sz w:val="22"/>
          <w:szCs w:val="22"/>
        </w:rPr>
        <w:t>sustainable public health system in Montana</w:t>
      </w:r>
      <w:r w:rsidRPr="00096FA8">
        <w:rPr>
          <w:rFonts w:ascii="Arial" w:hAnsi="Arial" w:cs="Arial"/>
          <w:color w:val="595959" w:themeColor="text1" w:themeTint="A6"/>
          <w:sz w:val="22"/>
          <w:szCs w:val="22"/>
        </w:rPr>
        <w:t>,</w:t>
      </w:r>
      <w:r w:rsidRPr="00096FA8">
        <w:rPr>
          <w:rFonts w:ascii="Arial" w:hAnsi="Arial" w:cs="Arial"/>
          <w:sz w:val="22"/>
          <w:szCs w:val="22"/>
        </w:rPr>
        <w:t xml:space="preserve"> with the capacity to make measurable improvements in the health status of Montana citizens.</w:t>
      </w:r>
      <w:r w:rsidRPr="00096FA8">
        <w:rPr>
          <w:rStyle w:val="FootnoteReference"/>
          <w:rFonts w:ascii="Arial" w:hAnsi="Arial" w:cs="Arial"/>
          <w:sz w:val="22"/>
          <w:szCs w:val="22"/>
        </w:rPr>
        <w:footnoteReference w:id="66"/>
      </w:r>
      <w:r w:rsidRPr="00096FA8">
        <w:rPr>
          <w:rFonts w:ascii="Arial" w:hAnsi="Arial" w:cs="Arial"/>
          <w:sz w:val="22"/>
          <w:szCs w:val="22"/>
        </w:rPr>
        <w:t xml:space="preserve"> </w:t>
      </w:r>
    </w:p>
    <w:p w:rsidR="00067FEC" w:rsidRPr="00096FA8" w:rsidRDefault="00067FEC" w:rsidP="00F9158C">
      <w:pPr>
        <w:pStyle w:val="Default"/>
        <w:numPr>
          <w:ilvl w:val="0"/>
          <w:numId w:val="11"/>
        </w:numPr>
        <w:spacing w:after="120" w:line="276" w:lineRule="auto"/>
        <w:rPr>
          <w:rFonts w:ascii="Arial" w:hAnsi="Arial" w:cs="Arial"/>
          <w:sz w:val="22"/>
          <w:szCs w:val="22"/>
        </w:rPr>
      </w:pPr>
      <w:r w:rsidRPr="00096FA8">
        <w:rPr>
          <w:rFonts w:ascii="Arial" w:hAnsi="Arial" w:cs="Arial"/>
          <w:sz w:val="22"/>
          <w:szCs w:val="22"/>
        </w:rPr>
        <w:t>As a result of the aforementioned legislation, seven Montana County Health Departments were chosen to participate in the pilot project and charged with producing: 1) a</w:t>
      </w:r>
      <w:r w:rsidRPr="00096FA8">
        <w:rPr>
          <w:rFonts w:ascii="Arial" w:hAnsi="Arial" w:cs="Arial"/>
          <w:i/>
          <w:color w:val="auto"/>
          <w:sz w:val="22"/>
          <w:szCs w:val="22"/>
        </w:rPr>
        <w:t xml:space="preserve"> </w:t>
      </w:r>
      <w:r w:rsidRPr="00147802">
        <w:rPr>
          <w:rFonts w:ascii="Arial" w:hAnsi="Arial" w:cs="Arial"/>
          <w:b/>
          <w:i/>
          <w:color w:val="000000" w:themeColor="text1"/>
          <w:sz w:val="22"/>
          <w:szCs w:val="22"/>
        </w:rPr>
        <w:t>Community Needs Assessment</w:t>
      </w:r>
      <w:r w:rsidRPr="00147802">
        <w:rPr>
          <w:rFonts w:ascii="Arial" w:hAnsi="Arial" w:cs="Arial"/>
          <w:color w:val="000000" w:themeColor="text1"/>
          <w:sz w:val="22"/>
          <w:szCs w:val="22"/>
        </w:rPr>
        <w:t xml:space="preserve">, </w:t>
      </w:r>
      <w:r w:rsidRPr="00096FA8">
        <w:rPr>
          <w:rFonts w:ascii="Arial" w:hAnsi="Arial" w:cs="Arial"/>
          <w:color w:val="auto"/>
          <w:sz w:val="22"/>
          <w:szCs w:val="22"/>
        </w:rPr>
        <w:t xml:space="preserve">2) a </w:t>
      </w:r>
      <w:r w:rsidRPr="00147802">
        <w:rPr>
          <w:rFonts w:ascii="Arial" w:hAnsi="Arial" w:cs="Arial"/>
          <w:b/>
          <w:i/>
          <w:color w:val="000000" w:themeColor="text1"/>
          <w:sz w:val="22"/>
          <w:szCs w:val="22"/>
        </w:rPr>
        <w:t>Community</w:t>
      </w:r>
      <w:r w:rsidRPr="00147802">
        <w:rPr>
          <w:rFonts w:ascii="Arial" w:hAnsi="Arial" w:cs="Arial"/>
          <w:color w:val="000000" w:themeColor="text1"/>
          <w:sz w:val="22"/>
          <w:szCs w:val="22"/>
        </w:rPr>
        <w:t xml:space="preserve"> </w:t>
      </w:r>
      <w:r w:rsidRPr="00147802">
        <w:rPr>
          <w:rFonts w:ascii="Arial" w:hAnsi="Arial" w:cs="Arial"/>
          <w:b/>
          <w:i/>
          <w:color w:val="000000" w:themeColor="text1"/>
          <w:sz w:val="22"/>
          <w:szCs w:val="22"/>
        </w:rPr>
        <w:t>Health Improvement Plan</w:t>
      </w:r>
      <w:r w:rsidRPr="00147802">
        <w:rPr>
          <w:rFonts w:ascii="Arial" w:hAnsi="Arial" w:cs="Arial"/>
          <w:color w:val="000000" w:themeColor="text1"/>
          <w:sz w:val="22"/>
          <w:szCs w:val="22"/>
        </w:rPr>
        <w:t>,</w:t>
      </w:r>
      <w:r w:rsidRPr="00096FA8">
        <w:rPr>
          <w:rFonts w:ascii="Arial" w:hAnsi="Arial" w:cs="Arial"/>
          <w:sz w:val="22"/>
          <w:szCs w:val="22"/>
        </w:rPr>
        <w:t xml:space="preserve"> and 3) a </w:t>
      </w:r>
      <w:r w:rsidRPr="00147802">
        <w:rPr>
          <w:rFonts w:ascii="Arial" w:hAnsi="Arial" w:cs="Arial"/>
          <w:b/>
          <w:i/>
          <w:color w:val="000000" w:themeColor="text1"/>
          <w:sz w:val="22"/>
          <w:szCs w:val="22"/>
        </w:rPr>
        <w:t>Strategic Plan</w:t>
      </w:r>
      <w:r w:rsidRPr="00096FA8">
        <w:rPr>
          <w:rFonts w:ascii="Arial" w:hAnsi="Arial" w:cs="Arial"/>
          <w:sz w:val="22"/>
          <w:szCs w:val="22"/>
        </w:rPr>
        <w:t xml:space="preserve"> that articulates agency priorities and plans to accomplish strategic goals.</w:t>
      </w:r>
      <w:r w:rsidRPr="00096FA8">
        <w:rPr>
          <w:rStyle w:val="FootnoteReference"/>
          <w:rFonts w:ascii="Arial" w:hAnsi="Arial" w:cs="Arial"/>
          <w:sz w:val="22"/>
          <w:szCs w:val="22"/>
        </w:rPr>
        <w:footnoteReference w:id="67"/>
      </w:r>
      <w:r w:rsidRPr="00096FA8">
        <w:rPr>
          <w:rFonts w:ascii="Arial" w:hAnsi="Arial" w:cs="Arial"/>
          <w:sz w:val="22"/>
          <w:szCs w:val="22"/>
        </w:rPr>
        <w:t xml:space="preserve"> </w:t>
      </w:r>
    </w:p>
    <w:p w:rsidR="00067FEC" w:rsidRPr="00096FA8" w:rsidRDefault="00993515" w:rsidP="00AC2563">
      <w:pPr>
        <w:ind w:left="720" w:hanging="360"/>
        <w:rPr>
          <w:rFonts w:cs="Arial"/>
        </w:rPr>
      </w:pPr>
      <w:r>
        <w:rPr>
          <w:rFonts w:cs="Arial"/>
        </w:rPr>
        <w:t xml:space="preserve">3. </w:t>
      </w:r>
      <w:r w:rsidR="00067FEC" w:rsidRPr="00096FA8">
        <w:rPr>
          <w:rFonts w:cs="Arial"/>
        </w:rPr>
        <w:t>In September of 2011, Montana received federal funding to strengthen state and community childhood services and systems, including developing and supporting local early childhood coalitions. Montana’s early childhood (Best Beginnings) coalitions are collaborative efforts between the DPHHS Family and Community Health Division and the Early Childhood Services Bureau. Twenty-five communities (including one region) received funding for coalitions to conduct early childhood needs assessments and develop plans and priorities for an early childhood system. In addition, these coalitions provide professional development opportunities for early childhood providers. Best Beginnings coalitions are located in 20 counties and five tribal jurisdictions.</w:t>
      </w:r>
      <w:r w:rsidR="00067FEC" w:rsidRPr="00096FA8">
        <w:rPr>
          <w:rStyle w:val="FootnoteReference"/>
          <w:rFonts w:cs="Arial"/>
        </w:rPr>
        <w:footnoteReference w:id="68"/>
      </w:r>
    </w:p>
    <w:p w:rsidR="00067FEC" w:rsidRPr="00993515" w:rsidRDefault="00057F0F" w:rsidP="00AC2563">
      <w:pPr>
        <w:spacing w:after="240"/>
        <w:ind w:left="720" w:hanging="360"/>
        <w:rPr>
          <w:rFonts w:eastAsiaTheme="minorHAnsi" w:cs="Arial"/>
        </w:rPr>
      </w:pPr>
      <w:r>
        <w:rPr>
          <w:rFonts w:cs="Arial"/>
        </w:rPr>
        <w:t>4</w:t>
      </w:r>
      <w:r w:rsidR="00067FEC" w:rsidRPr="00993515">
        <w:rPr>
          <w:rFonts w:cs="Arial"/>
        </w:rPr>
        <w:t xml:space="preserve">.  </w:t>
      </w:r>
      <w:r w:rsidR="00067FEC" w:rsidRPr="00993515">
        <w:rPr>
          <w:rFonts w:eastAsiaTheme="minorHAnsi" w:cs="Arial"/>
        </w:rPr>
        <w:t>The Montana State Department of Public Health and Human Services received $1 million in FY11 and FY12 as part of the National Public Health Improvement Initiative (NPHII).  Montana is using this funding to conduct a statewide assessment of health status and health services, and to work with stakeholders to develop a state health improvement plan and encourage collaboration between hospitals, local health departments, and other community providers.  The NPHII grant is helping to accelerate the agency’s readiness to apply for and achieve National Public Health Accreditation.</w:t>
      </w:r>
      <w:r w:rsidR="00067FEC" w:rsidRPr="00993515">
        <w:rPr>
          <w:rStyle w:val="FootnoteReference"/>
          <w:rFonts w:eastAsiaTheme="minorHAnsi" w:cs="Arial"/>
        </w:rPr>
        <w:footnoteReference w:id="69"/>
      </w:r>
    </w:p>
    <w:p w:rsidR="00067FEC" w:rsidRPr="00993515" w:rsidRDefault="00057F0F" w:rsidP="00484489">
      <w:pPr>
        <w:spacing w:after="60"/>
        <w:ind w:left="720" w:hanging="360"/>
        <w:rPr>
          <w:rFonts w:cs="Arial"/>
        </w:rPr>
      </w:pPr>
      <w:r>
        <w:rPr>
          <w:rFonts w:eastAsiaTheme="minorHAnsi" w:cs="Cambria"/>
          <w:sz w:val="23"/>
          <w:szCs w:val="23"/>
        </w:rPr>
        <w:t>5</w:t>
      </w:r>
      <w:r w:rsidR="00067FEC" w:rsidRPr="00993515">
        <w:rPr>
          <w:rFonts w:eastAsiaTheme="minorHAnsi" w:cs="Arial"/>
        </w:rPr>
        <w:t xml:space="preserve">.   </w:t>
      </w:r>
      <w:r w:rsidR="00067FEC" w:rsidRPr="00993515">
        <w:rPr>
          <w:rFonts w:cs="Arial"/>
        </w:rPr>
        <w:t xml:space="preserve">On June 21, 2013, Montana Governor Steve Bullock announced the publication of the state’s ambitious public health improvement plan entitled </w:t>
      </w:r>
      <w:r w:rsidR="00067FEC" w:rsidRPr="00147802">
        <w:rPr>
          <w:rFonts w:cs="Arial"/>
          <w:b/>
          <w:i/>
          <w:color w:val="000000" w:themeColor="text1"/>
        </w:rPr>
        <w:t>Big Sky. New Horizons. A Healthier Montana</w:t>
      </w:r>
      <w:r w:rsidR="00067FEC" w:rsidRPr="00147802">
        <w:rPr>
          <w:rFonts w:cs="Arial"/>
          <w:i/>
          <w:color w:val="000000" w:themeColor="text1"/>
        </w:rPr>
        <w:t xml:space="preserve">: </w:t>
      </w:r>
      <w:r w:rsidR="00067FEC" w:rsidRPr="00147802">
        <w:rPr>
          <w:rFonts w:cs="Arial"/>
          <w:b/>
          <w:color w:val="000000" w:themeColor="text1"/>
        </w:rPr>
        <w:t>A Plan to Improve the Health of Montanans.</w:t>
      </w:r>
      <w:r w:rsidR="00067FEC" w:rsidRPr="00993515">
        <w:rPr>
          <w:rFonts w:cs="Arial"/>
          <w:b/>
        </w:rPr>
        <w:t xml:space="preserve"> </w:t>
      </w:r>
      <w:r w:rsidR="00067FEC" w:rsidRPr="00993515">
        <w:rPr>
          <w:rFonts w:cs="Arial"/>
        </w:rPr>
        <w:t xml:space="preserve">The </w:t>
      </w:r>
      <w:r w:rsidR="00F867DB">
        <w:rPr>
          <w:rFonts w:cs="Arial"/>
        </w:rPr>
        <w:t>focus is</w:t>
      </w:r>
      <w:r w:rsidR="00067FEC" w:rsidRPr="00993515">
        <w:rPr>
          <w:rFonts w:cs="Arial"/>
        </w:rPr>
        <w:t xml:space="preserve"> on:</w:t>
      </w:r>
      <w:r w:rsidR="00484489" w:rsidRPr="00993515">
        <w:rPr>
          <w:rFonts w:cs="Arial"/>
        </w:rPr>
        <w:t xml:space="preserve"> </w:t>
      </w:r>
      <w:r w:rsidR="00067FEC" w:rsidRPr="00993515">
        <w:rPr>
          <w:rFonts w:cs="Arial"/>
        </w:rPr>
        <w:t>Preventing, identifying and managing chronic conditions,</w:t>
      </w:r>
    </w:p>
    <w:p w:rsidR="00067FEC" w:rsidRPr="00993515" w:rsidRDefault="00067FEC" w:rsidP="00F9158C">
      <w:pPr>
        <w:pStyle w:val="ListParagraph"/>
        <w:numPr>
          <w:ilvl w:val="0"/>
          <w:numId w:val="14"/>
        </w:numPr>
        <w:spacing w:after="60"/>
        <w:ind w:firstLine="0"/>
        <w:rPr>
          <w:rFonts w:cs="Arial"/>
          <w:szCs w:val="22"/>
        </w:rPr>
      </w:pPr>
      <w:r w:rsidRPr="00993515">
        <w:rPr>
          <w:rFonts w:cs="Arial"/>
          <w:szCs w:val="22"/>
        </w:rPr>
        <w:t>Promoting the health of mothers, infants and children,</w:t>
      </w:r>
    </w:p>
    <w:p w:rsidR="00067FEC" w:rsidRPr="00993515" w:rsidRDefault="00067FEC" w:rsidP="00F9158C">
      <w:pPr>
        <w:pStyle w:val="ListParagraph"/>
        <w:numPr>
          <w:ilvl w:val="0"/>
          <w:numId w:val="12"/>
        </w:numPr>
        <w:autoSpaceDE w:val="0"/>
        <w:autoSpaceDN w:val="0"/>
        <w:adjustRightInd w:val="0"/>
        <w:spacing w:after="60"/>
        <w:ind w:firstLine="360"/>
        <w:outlineLvl w:val="9"/>
        <w:rPr>
          <w:rFonts w:cs="Arial"/>
          <w:szCs w:val="22"/>
        </w:rPr>
      </w:pPr>
      <w:r w:rsidRPr="00993515">
        <w:rPr>
          <w:rFonts w:cs="Arial"/>
          <w:szCs w:val="22"/>
        </w:rPr>
        <w:t xml:space="preserve">Preventing, identifying and controlling communicable disease, </w:t>
      </w:r>
    </w:p>
    <w:p w:rsidR="00067FEC" w:rsidRPr="00993515" w:rsidRDefault="00067FEC" w:rsidP="00F9158C">
      <w:pPr>
        <w:pStyle w:val="ListParagraph"/>
        <w:numPr>
          <w:ilvl w:val="0"/>
          <w:numId w:val="12"/>
        </w:numPr>
        <w:autoSpaceDE w:val="0"/>
        <w:autoSpaceDN w:val="0"/>
        <w:adjustRightInd w:val="0"/>
        <w:spacing w:after="60"/>
        <w:ind w:firstLine="360"/>
        <w:outlineLvl w:val="9"/>
        <w:rPr>
          <w:rFonts w:cs="Arial"/>
          <w:szCs w:val="22"/>
        </w:rPr>
      </w:pPr>
      <w:r w:rsidRPr="00993515">
        <w:rPr>
          <w:rFonts w:cs="Arial"/>
          <w:szCs w:val="22"/>
        </w:rPr>
        <w:t xml:space="preserve">Preventing injuries and reducing exposure to environmental health hazards, and </w:t>
      </w:r>
    </w:p>
    <w:p w:rsidR="00067FEC" w:rsidRPr="008418AB" w:rsidRDefault="00067FEC" w:rsidP="00F9158C">
      <w:pPr>
        <w:pStyle w:val="ListParagraph"/>
        <w:numPr>
          <w:ilvl w:val="0"/>
          <w:numId w:val="12"/>
        </w:numPr>
        <w:autoSpaceDE w:val="0"/>
        <w:autoSpaceDN w:val="0"/>
        <w:adjustRightInd w:val="0"/>
        <w:ind w:firstLine="360"/>
        <w:outlineLvl w:val="9"/>
        <w:rPr>
          <w:rFonts w:cs="Arial"/>
          <w:szCs w:val="22"/>
        </w:rPr>
      </w:pPr>
      <w:r w:rsidRPr="00993515">
        <w:rPr>
          <w:rFonts w:cs="Arial"/>
          <w:szCs w:val="22"/>
        </w:rPr>
        <w:lastRenderedPageBreak/>
        <w:t>Improving mental health and reducing substance abuse.</w:t>
      </w:r>
      <w:r w:rsidRPr="00993515">
        <w:rPr>
          <w:rStyle w:val="FootnoteReference"/>
          <w:rFonts w:cs="Arial"/>
          <w:szCs w:val="22"/>
        </w:rPr>
        <w:footnoteReference w:id="70"/>
      </w:r>
    </w:p>
    <w:p w:rsidR="00067FEC" w:rsidRPr="00993515" w:rsidRDefault="00067FEC" w:rsidP="00AC2563">
      <w:pPr>
        <w:autoSpaceDE w:val="0"/>
        <w:autoSpaceDN w:val="0"/>
        <w:adjustRightInd w:val="0"/>
        <w:spacing w:after="60"/>
        <w:ind w:left="360"/>
        <w:rPr>
          <w:rFonts w:cs="Arial"/>
        </w:rPr>
      </w:pPr>
      <w:r w:rsidRPr="00993515">
        <w:rPr>
          <w:rFonts w:cs="Arial"/>
        </w:rPr>
        <w:t>For each of these health improvement priorities, strategies for improvement are included in four key action areas:</w:t>
      </w:r>
    </w:p>
    <w:p w:rsidR="00067FEC" w:rsidRPr="00993515" w:rsidRDefault="00067FEC" w:rsidP="00F9158C">
      <w:pPr>
        <w:pStyle w:val="ListParagraph"/>
        <w:numPr>
          <w:ilvl w:val="0"/>
          <w:numId w:val="13"/>
        </w:numPr>
        <w:tabs>
          <w:tab w:val="left" w:pos="1080"/>
        </w:tabs>
        <w:autoSpaceDE w:val="0"/>
        <w:autoSpaceDN w:val="0"/>
        <w:adjustRightInd w:val="0"/>
        <w:ind w:left="1440"/>
        <w:outlineLvl w:val="9"/>
        <w:rPr>
          <w:rFonts w:cs="Arial"/>
          <w:bCs/>
          <w:szCs w:val="22"/>
        </w:rPr>
      </w:pPr>
      <w:r w:rsidRPr="00993515">
        <w:rPr>
          <w:rFonts w:cs="Arial"/>
          <w:bCs/>
          <w:szCs w:val="22"/>
        </w:rPr>
        <w:t>Public health policies,</w:t>
      </w:r>
    </w:p>
    <w:p w:rsidR="00067FEC" w:rsidRPr="00993515" w:rsidRDefault="00993515" w:rsidP="00F9158C">
      <w:pPr>
        <w:pStyle w:val="ListParagraph"/>
        <w:numPr>
          <w:ilvl w:val="0"/>
          <w:numId w:val="13"/>
        </w:numPr>
        <w:tabs>
          <w:tab w:val="left" w:pos="1080"/>
        </w:tabs>
        <w:autoSpaceDE w:val="0"/>
        <w:autoSpaceDN w:val="0"/>
        <w:adjustRightInd w:val="0"/>
        <w:ind w:hanging="255"/>
        <w:outlineLvl w:val="9"/>
        <w:rPr>
          <w:rFonts w:cs="Arial"/>
          <w:bCs/>
          <w:szCs w:val="22"/>
        </w:rPr>
      </w:pPr>
      <w:r>
        <w:rPr>
          <w:rFonts w:cs="Arial"/>
          <w:bCs/>
          <w:szCs w:val="22"/>
        </w:rPr>
        <w:t xml:space="preserve">  </w:t>
      </w:r>
      <w:r w:rsidR="00067FEC" w:rsidRPr="00993515">
        <w:rPr>
          <w:rFonts w:cs="Arial"/>
          <w:bCs/>
          <w:szCs w:val="22"/>
        </w:rPr>
        <w:t>Prevention and health promotion efforts,</w:t>
      </w:r>
    </w:p>
    <w:p w:rsidR="00067FEC" w:rsidRPr="00993515" w:rsidRDefault="00067FEC" w:rsidP="00F9158C">
      <w:pPr>
        <w:pStyle w:val="ListParagraph"/>
        <w:numPr>
          <w:ilvl w:val="0"/>
          <w:numId w:val="13"/>
        </w:numPr>
        <w:tabs>
          <w:tab w:val="left" w:pos="1080"/>
        </w:tabs>
        <w:autoSpaceDE w:val="0"/>
        <w:autoSpaceDN w:val="0"/>
        <w:adjustRightInd w:val="0"/>
        <w:spacing w:after="60"/>
        <w:ind w:left="1440"/>
        <w:outlineLvl w:val="9"/>
        <w:rPr>
          <w:rFonts w:cs="Arial"/>
          <w:bCs/>
          <w:szCs w:val="22"/>
        </w:rPr>
      </w:pPr>
      <w:r w:rsidRPr="00993515">
        <w:rPr>
          <w:rFonts w:cs="Arial"/>
          <w:bCs/>
          <w:szCs w:val="22"/>
        </w:rPr>
        <w:t>Access to health care, particularly clinical preventive services, and</w:t>
      </w:r>
    </w:p>
    <w:p w:rsidR="00067FEC" w:rsidRPr="00993515" w:rsidRDefault="00067FEC" w:rsidP="00F9158C">
      <w:pPr>
        <w:pStyle w:val="ListParagraph"/>
        <w:numPr>
          <w:ilvl w:val="0"/>
          <w:numId w:val="13"/>
        </w:numPr>
        <w:tabs>
          <w:tab w:val="left" w:pos="1080"/>
        </w:tabs>
        <w:ind w:left="1440"/>
        <w:outlineLvl w:val="9"/>
        <w:rPr>
          <w:rFonts w:cs="Arial"/>
          <w:szCs w:val="22"/>
        </w:rPr>
      </w:pPr>
      <w:r w:rsidRPr="00993515">
        <w:rPr>
          <w:rFonts w:cs="Arial"/>
          <w:bCs/>
          <w:szCs w:val="22"/>
        </w:rPr>
        <w:t>Strengthening Montana’s public health and health care system</w:t>
      </w:r>
      <w:r w:rsidRPr="00993515">
        <w:rPr>
          <w:rStyle w:val="FootnoteReference"/>
          <w:rFonts w:cs="Arial"/>
          <w:bCs/>
          <w:szCs w:val="22"/>
        </w:rPr>
        <w:footnoteReference w:id="71"/>
      </w:r>
    </w:p>
    <w:p w:rsidR="00067FEC" w:rsidRPr="00993515" w:rsidRDefault="00067FEC" w:rsidP="00AC2563">
      <w:pPr>
        <w:autoSpaceDE w:val="0"/>
        <w:autoSpaceDN w:val="0"/>
        <w:adjustRightInd w:val="0"/>
        <w:spacing w:after="120"/>
        <w:ind w:left="360"/>
        <w:rPr>
          <w:rFonts w:cs="Arial"/>
        </w:rPr>
      </w:pPr>
      <w:r w:rsidRPr="00993515">
        <w:rPr>
          <w:rFonts w:cs="Arial"/>
        </w:rPr>
        <w:t>In addition to specific strategies within each section of the plan that focus on Montana’s public health and health care system, this plan includes 10 goals to emphasize the need to strengthen and better integrate Montana’s public health and health care system and support the work outlined in these health improvement priorities.</w:t>
      </w:r>
      <w:r w:rsidRPr="00993515">
        <w:rPr>
          <w:rStyle w:val="FootnoteReference"/>
          <w:rFonts w:cs="Arial"/>
        </w:rPr>
        <w:footnoteReference w:id="72"/>
      </w:r>
    </w:p>
    <w:p w:rsidR="00067FEC" w:rsidRPr="00F867DB" w:rsidRDefault="00067FEC" w:rsidP="00AC2563">
      <w:pPr>
        <w:autoSpaceDE w:val="0"/>
        <w:autoSpaceDN w:val="0"/>
        <w:adjustRightInd w:val="0"/>
        <w:spacing w:after="0"/>
        <w:ind w:left="360"/>
        <w:rPr>
          <w:rFonts w:cs="Arial"/>
          <w:sz w:val="12"/>
          <w:szCs w:val="12"/>
        </w:rPr>
      </w:pPr>
    </w:p>
    <w:p w:rsidR="005B4F53" w:rsidRDefault="00067FEC" w:rsidP="00147802">
      <w:pPr>
        <w:autoSpaceDE w:val="0"/>
        <w:autoSpaceDN w:val="0"/>
        <w:adjustRightInd w:val="0"/>
        <w:spacing w:after="0"/>
        <w:ind w:left="360"/>
        <w:rPr>
          <w:rFonts w:cs="Arial"/>
        </w:rPr>
      </w:pPr>
      <w:r w:rsidRPr="00993515">
        <w:rPr>
          <w:rFonts w:cs="Arial"/>
        </w:rPr>
        <w:t xml:space="preserve">The health improvement planning process was initiated by the Public Health and Safety Division (PHSD) of the Montana Department of Public Health and Human Services (MTDPHHS) in 2012.  The Montana Public Health System Improvement Task Force served as the Steering Committee for this effort. The PHSD compiled information on the health status and health needs of Montanans and presented it to key stakeholder groups and the public. Information from focus groups, on-site meetings, surveys, and a series of webinars informed this plan. More than 300 individuals representing more than 130 organizations participated in its development, including the </w:t>
      </w:r>
      <w:r w:rsidRPr="00F867DB">
        <w:rPr>
          <w:rFonts w:cs="Arial"/>
          <w:b/>
          <w:i/>
          <w:color w:val="404040" w:themeColor="text1" w:themeTint="BF"/>
        </w:rPr>
        <w:t>Montana Disability and Health Program</w:t>
      </w:r>
      <w:r w:rsidRPr="00993515">
        <w:rPr>
          <w:rFonts w:cs="Arial"/>
        </w:rPr>
        <w:t xml:space="preserve"> as well as the </w:t>
      </w:r>
      <w:r w:rsidRPr="00F867DB">
        <w:rPr>
          <w:rFonts w:cs="Arial"/>
          <w:b/>
          <w:i/>
          <w:color w:val="404040" w:themeColor="text1" w:themeTint="BF"/>
        </w:rPr>
        <w:t>Montana Disability and Health Advisory Group</w:t>
      </w:r>
      <w:r w:rsidRPr="00993515">
        <w:rPr>
          <w:rFonts w:cs="Arial"/>
        </w:rPr>
        <w:t>.</w:t>
      </w:r>
      <w:r w:rsidRPr="00993515">
        <w:rPr>
          <w:rStyle w:val="FootnoteReference"/>
          <w:rFonts w:cs="Arial"/>
        </w:rPr>
        <w:footnoteReference w:id="73"/>
      </w:r>
      <w:r w:rsidR="008418AB">
        <w:rPr>
          <w:rFonts w:cs="Arial"/>
        </w:rPr>
        <w:t xml:space="preserve"> </w:t>
      </w:r>
    </w:p>
    <w:p w:rsidR="00147802" w:rsidRPr="00147802" w:rsidRDefault="00147802" w:rsidP="00147802">
      <w:pPr>
        <w:autoSpaceDE w:val="0"/>
        <w:autoSpaceDN w:val="0"/>
        <w:adjustRightInd w:val="0"/>
        <w:spacing w:after="0"/>
        <w:ind w:left="360"/>
        <w:rPr>
          <w:rFonts w:cs="Arial"/>
        </w:rPr>
      </w:pPr>
    </w:p>
    <w:p w:rsidR="008418AB" w:rsidRPr="008418AB" w:rsidRDefault="00067FEC" w:rsidP="00E87106">
      <w:pPr>
        <w:rPr>
          <w:rStyle w:val="Strong"/>
        </w:rPr>
      </w:pPr>
      <w:r w:rsidRPr="008418AB">
        <w:rPr>
          <w:rStyle w:val="Strong"/>
        </w:rPr>
        <w:t>Activities</w:t>
      </w:r>
    </w:p>
    <w:p w:rsidR="00D035EB" w:rsidRPr="008418AB" w:rsidRDefault="00067FEC" w:rsidP="008418AB">
      <w:r w:rsidRPr="008418AB">
        <w:t>MTDH: Meg Traci, PhD, PI, MTDH Program Director</w:t>
      </w:r>
    </w:p>
    <w:p w:rsidR="00D035EB" w:rsidRPr="008418AB" w:rsidRDefault="00D035EB" w:rsidP="00F9158C">
      <w:pPr>
        <w:pStyle w:val="ListParagraph"/>
        <w:numPr>
          <w:ilvl w:val="0"/>
          <w:numId w:val="61"/>
        </w:numPr>
        <w:rPr>
          <w:rFonts w:asciiTheme="minorHAnsi" w:hAnsiTheme="minorHAnsi"/>
        </w:rPr>
      </w:pPr>
      <w:r w:rsidRPr="005B4F53">
        <w:t>Assure a common state-wide agenda</w:t>
      </w:r>
      <w:r w:rsidR="00F867DB" w:rsidRPr="005B4F53">
        <w:t>:</w:t>
      </w:r>
    </w:p>
    <w:p w:rsidR="00067FEC" w:rsidRPr="008418AB" w:rsidRDefault="00067FEC" w:rsidP="00F9158C">
      <w:pPr>
        <w:pStyle w:val="ListParagraph"/>
        <w:numPr>
          <w:ilvl w:val="0"/>
          <w:numId w:val="61"/>
        </w:numPr>
        <w:rPr>
          <w:rFonts w:cs="Arial"/>
        </w:rPr>
      </w:pPr>
      <w:r w:rsidRPr="008418AB">
        <w:rPr>
          <w:rFonts w:cs="Arial"/>
        </w:rPr>
        <w:t>Maintaining public health surveillance systems that produce reliable data;</w:t>
      </w:r>
    </w:p>
    <w:p w:rsidR="00067FEC" w:rsidRPr="008418AB" w:rsidRDefault="00067FEC" w:rsidP="00F9158C">
      <w:pPr>
        <w:pStyle w:val="ListParagraph"/>
        <w:numPr>
          <w:ilvl w:val="0"/>
          <w:numId w:val="61"/>
        </w:numPr>
        <w:rPr>
          <w:rFonts w:cs="Arial"/>
        </w:rPr>
      </w:pPr>
      <w:r w:rsidRPr="008418AB">
        <w:rPr>
          <w:rFonts w:cs="Arial"/>
        </w:rPr>
        <w:t>Engaging public, private, non-profit, and community partners;</w:t>
      </w:r>
    </w:p>
    <w:p w:rsidR="00067FEC" w:rsidRPr="008418AB" w:rsidRDefault="00067FEC" w:rsidP="00F9158C">
      <w:pPr>
        <w:pStyle w:val="ListParagraph"/>
        <w:numPr>
          <w:ilvl w:val="0"/>
          <w:numId w:val="61"/>
        </w:numPr>
        <w:rPr>
          <w:rFonts w:cs="Arial"/>
        </w:rPr>
      </w:pPr>
      <w:r w:rsidRPr="008418AB">
        <w:rPr>
          <w:rFonts w:cs="Arial"/>
        </w:rPr>
        <w:t>Employ</w:t>
      </w:r>
      <w:r w:rsidR="00225152" w:rsidRPr="008418AB">
        <w:rPr>
          <w:rFonts w:cs="Arial"/>
        </w:rPr>
        <w:t>ing</w:t>
      </w:r>
      <w:r w:rsidRPr="008418AB">
        <w:rPr>
          <w:rFonts w:cs="Arial"/>
        </w:rPr>
        <w:t xml:space="preserve"> best practices; </w:t>
      </w:r>
    </w:p>
    <w:p w:rsidR="00067FEC" w:rsidRPr="008418AB" w:rsidRDefault="00067FEC" w:rsidP="00F9158C">
      <w:pPr>
        <w:pStyle w:val="ListParagraph"/>
        <w:numPr>
          <w:ilvl w:val="0"/>
          <w:numId w:val="61"/>
        </w:numPr>
        <w:rPr>
          <w:rFonts w:cs="Arial"/>
        </w:rPr>
      </w:pPr>
      <w:r w:rsidRPr="008418AB">
        <w:rPr>
          <w:rFonts w:cs="Arial"/>
        </w:rPr>
        <w:t>Clarifying priorities, goals, targets, indicators, and strategies;</w:t>
      </w:r>
    </w:p>
    <w:p w:rsidR="00067FEC" w:rsidRPr="008418AB" w:rsidRDefault="00067FEC" w:rsidP="00F9158C">
      <w:pPr>
        <w:pStyle w:val="ListParagraph"/>
        <w:numPr>
          <w:ilvl w:val="1"/>
          <w:numId w:val="61"/>
        </w:numPr>
        <w:rPr>
          <w:rFonts w:cs="Arial"/>
        </w:rPr>
      </w:pPr>
      <w:r w:rsidRPr="008418AB">
        <w:rPr>
          <w:rFonts w:cs="Arial"/>
        </w:rPr>
        <w:t>Inform</w:t>
      </w:r>
      <w:r w:rsidR="00225152" w:rsidRPr="008418AB">
        <w:rPr>
          <w:rFonts w:cs="Arial"/>
        </w:rPr>
        <w:t>ing and engaging</w:t>
      </w:r>
      <w:r w:rsidRPr="008418AB">
        <w:rPr>
          <w:rFonts w:cs="Arial"/>
        </w:rPr>
        <w:t xml:space="preserve"> the general public;  </w:t>
      </w:r>
    </w:p>
    <w:p w:rsidR="00067FEC" w:rsidRPr="008418AB" w:rsidRDefault="00225152" w:rsidP="00F9158C">
      <w:pPr>
        <w:pStyle w:val="ListParagraph"/>
        <w:numPr>
          <w:ilvl w:val="1"/>
          <w:numId w:val="61"/>
        </w:numPr>
        <w:rPr>
          <w:rFonts w:cs="Arial"/>
        </w:rPr>
      </w:pPr>
      <w:r w:rsidRPr="008418AB">
        <w:rPr>
          <w:rFonts w:cs="Arial"/>
        </w:rPr>
        <w:t>Promoting</w:t>
      </w:r>
      <w:r w:rsidR="00067FEC" w:rsidRPr="008418AB">
        <w:rPr>
          <w:rFonts w:cs="Arial"/>
        </w:rPr>
        <w:t xml:space="preserve"> healthy behaviors through programs, events, and activities; </w:t>
      </w:r>
    </w:p>
    <w:p w:rsidR="00067FEC" w:rsidRPr="008418AB" w:rsidRDefault="00067FEC" w:rsidP="00F9158C">
      <w:pPr>
        <w:pStyle w:val="ListParagraph"/>
        <w:numPr>
          <w:ilvl w:val="1"/>
          <w:numId w:val="61"/>
        </w:numPr>
        <w:rPr>
          <w:rFonts w:cs="Arial"/>
        </w:rPr>
      </w:pPr>
      <w:r w:rsidRPr="008418AB">
        <w:rPr>
          <w:rFonts w:cs="Arial"/>
        </w:rPr>
        <w:t>Support</w:t>
      </w:r>
      <w:r w:rsidR="00225152" w:rsidRPr="008418AB">
        <w:rPr>
          <w:rFonts w:cs="Arial"/>
        </w:rPr>
        <w:t>ing</w:t>
      </w:r>
      <w:r w:rsidRPr="008418AB">
        <w:rPr>
          <w:rFonts w:cs="Arial"/>
        </w:rPr>
        <w:t xml:space="preserve"> community and/or statewide coalitions with similar interests and goals; and</w:t>
      </w:r>
    </w:p>
    <w:p w:rsidR="00147802" w:rsidRDefault="00225152" w:rsidP="00F9158C">
      <w:pPr>
        <w:pStyle w:val="ListParagraph"/>
        <w:numPr>
          <w:ilvl w:val="1"/>
          <w:numId w:val="61"/>
        </w:numPr>
        <w:rPr>
          <w:rFonts w:cs="Arial"/>
        </w:rPr>
        <w:sectPr w:rsidR="00147802" w:rsidSect="00A07593">
          <w:pgSz w:w="12240" w:h="15840"/>
          <w:pgMar w:top="1440" w:right="1440" w:bottom="1440" w:left="1440" w:header="720" w:footer="720" w:gutter="0"/>
          <w:cols w:space="720"/>
          <w:docGrid w:linePitch="360"/>
        </w:sectPr>
      </w:pPr>
      <w:r w:rsidRPr="008418AB">
        <w:rPr>
          <w:rFonts w:cs="Arial"/>
        </w:rPr>
        <w:t>Assuring</w:t>
      </w:r>
      <w:r w:rsidR="00147802">
        <w:rPr>
          <w:rFonts w:cs="Arial"/>
        </w:rPr>
        <w:t xml:space="preserve"> adequate funding</w:t>
      </w:r>
    </w:p>
    <w:p w:rsidR="00067FEC" w:rsidRPr="00147802" w:rsidRDefault="00067FEC" w:rsidP="00147802">
      <w:pPr>
        <w:rPr>
          <w:rFonts w:cs="Arial"/>
        </w:rPr>
      </w:pPr>
    </w:p>
    <w:p w:rsidR="008418AB" w:rsidRPr="00147802" w:rsidRDefault="008418AB" w:rsidP="00147802">
      <w:pPr>
        <w:rPr>
          <w:rStyle w:val="Strong"/>
        </w:rPr>
      </w:pPr>
      <w:r w:rsidRPr="00147802">
        <w:rPr>
          <w:rStyle w:val="Strong"/>
        </w:rPr>
        <w:t>Objective 1G</w:t>
      </w:r>
    </w:p>
    <w:p w:rsidR="00067FEC" w:rsidRPr="00147802" w:rsidRDefault="008418AB" w:rsidP="00147802">
      <w:pPr>
        <w:rPr>
          <w:rStyle w:val="Strong"/>
        </w:rPr>
      </w:pPr>
      <w:r w:rsidRPr="00147802">
        <w:rPr>
          <w:rStyle w:val="Strong"/>
        </w:rPr>
        <w:t>By June 30, 2013, the MTDH will compile a listing of statewide and local coalitions that meet the Healthy Communities criteria.</w:t>
      </w:r>
    </w:p>
    <w:p w:rsidR="00067FEC" w:rsidRPr="00D035EB" w:rsidRDefault="00067FEC" w:rsidP="00067FEC">
      <w:pPr>
        <w:rPr>
          <w:rFonts w:cs="Arial"/>
        </w:rPr>
      </w:pPr>
      <w:r w:rsidRPr="00D035EB">
        <w:rPr>
          <w:rFonts w:cs="Arial"/>
        </w:rPr>
        <w:t>Montana has a rich history of statewide and community coalitions dedicated to improving health and wellness of all citizens. Statewide coalitions include the following:</w:t>
      </w:r>
    </w:p>
    <w:p w:rsidR="00067FEC" w:rsidRPr="008418AB" w:rsidRDefault="00067FEC" w:rsidP="008418AB">
      <w:pPr>
        <w:rPr>
          <w:rStyle w:val="Strong"/>
          <w:u w:val="single"/>
        </w:rPr>
      </w:pPr>
      <w:r w:rsidRPr="008418AB">
        <w:rPr>
          <w:rStyle w:val="Strong"/>
          <w:u w:val="single"/>
        </w:rPr>
        <w:t>Statewide Coalitions</w:t>
      </w:r>
    </w:p>
    <w:p w:rsidR="00067FEC" w:rsidRPr="00D035EB" w:rsidRDefault="00067FEC" w:rsidP="005674D0">
      <w:pPr>
        <w:rPr>
          <w:rFonts w:cs="Arial"/>
        </w:rPr>
      </w:pPr>
      <w:r w:rsidRPr="00D035EB">
        <w:rPr>
          <w:rFonts w:cs="Arial"/>
        </w:rPr>
        <w:t xml:space="preserve">Best Beginnings Advisory Council: </w:t>
      </w:r>
      <w:hyperlink r:id="rId34" w:history="1">
        <w:r w:rsidRPr="00D035EB">
          <w:rPr>
            <w:rStyle w:val="Hyperlink"/>
            <w:rFonts w:cs="Arial"/>
          </w:rPr>
          <w:t>http://www.dphhs.mt.gov/hcsd/childcare/advisorycouncil.shtml</w:t>
        </w:r>
      </w:hyperlink>
    </w:p>
    <w:p w:rsidR="00067FEC" w:rsidRPr="00D035EB" w:rsidRDefault="00067FEC" w:rsidP="005674D0">
      <w:pPr>
        <w:rPr>
          <w:rFonts w:cs="Arial"/>
        </w:rPr>
      </w:pPr>
      <w:r w:rsidRPr="00D035EB">
        <w:rPr>
          <w:rFonts w:cs="Arial"/>
        </w:rPr>
        <w:t xml:space="preserve">Hypertension Coalition: </w:t>
      </w:r>
      <w:hyperlink r:id="rId35" w:history="1">
        <w:r w:rsidRPr="00D035EB">
          <w:rPr>
            <w:rStyle w:val="Hyperlink"/>
            <w:rFonts w:cs="Arial"/>
          </w:rPr>
          <w:t>http://www.dphhs.mt.gov/publichealth/cardiovascular/index.shtml</w:t>
        </w:r>
      </w:hyperlink>
    </w:p>
    <w:p w:rsidR="00067FEC" w:rsidRPr="00D035EB" w:rsidRDefault="00067FEC" w:rsidP="005674D0">
      <w:pPr>
        <w:rPr>
          <w:rFonts w:cs="Arial"/>
        </w:rPr>
      </w:pPr>
      <w:r w:rsidRPr="00D035EB">
        <w:rPr>
          <w:rFonts w:cs="Arial"/>
        </w:rPr>
        <w:t xml:space="preserve">Montana Cancer Control Coalition: </w:t>
      </w:r>
      <w:hyperlink r:id="rId36" w:history="1">
        <w:r w:rsidRPr="00D035EB">
          <w:rPr>
            <w:rStyle w:val="Hyperlink"/>
            <w:rFonts w:cs="Arial"/>
          </w:rPr>
          <w:t>http://www.dphhs.mt.gov/publichealth/cancer/comprehensivecancercontrolplan.shtml</w:t>
        </w:r>
      </w:hyperlink>
    </w:p>
    <w:p w:rsidR="00067FEC" w:rsidRPr="00D035EB" w:rsidRDefault="00067FEC" w:rsidP="005674D0">
      <w:pPr>
        <w:rPr>
          <w:rFonts w:cs="Arial"/>
        </w:rPr>
      </w:pPr>
      <w:r w:rsidRPr="00D035EB">
        <w:rPr>
          <w:rFonts w:cs="Arial"/>
        </w:rPr>
        <w:t xml:space="preserve">Montana Coalition for the Homeless:  </w:t>
      </w:r>
      <w:hyperlink r:id="rId37" w:history="1">
        <w:r w:rsidRPr="00D035EB">
          <w:rPr>
            <w:rStyle w:val="Hyperlink"/>
            <w:rFonts w:cs="Arial"/>
          </w:rPr>
          <w:t>http://www.mtcoh.org/</w:t>
        </w:r>
      </w:hyperlink>
    </w:p>
    <w:p w:rsidR="00067FEC" w:rsidRPr="00D035EB" w:rsidRDefault="00067FEC" w:rsidP="005674D0">
      <w:pPr>
        <w:rPr>
          <w:rFonts w:cs="Arial"/>
        </w:rPr>
      </w:pPr>
      <w:r w:rsidRPr="00D035EB">
        <w:rPr>
          <w:rFonts w:cs="Arial"/>
        </w:rPr>
        <w:t xml:space="preserve">Montana Diabetes Project Advisory Coalition: </w:t>
      </w:r>
      <w:hyperlink r:id="rId38" w:history="1">
        <w:r w:rsidRPr="00D035EB">
          <w:rPr>
            <w:rStyle w:val="Hyperlink"/>
            <w:rFonts w:cs="Arial"/>
          </w:rPr>
          <w:t>http://www.dphhs.mt.gov/publichealth/diabetes/advisorycoalition.shtml</w:t>
        </w:r>
      </w:hyperlink>
    </w:p>
    <w:p w:rsidR="00067FEC" w:rsidRPr="00D035EB" w:rsidRDefault="00067FEC" w:rsidP="005674D0">
      <w:pPr>
        <w:rPr>
          <w:rFonts w:cs="Arial"/>
        </w:rPr>
      </w:pPr>
      <w:r w:rsidRPr="00D035EB">
        <w:rPr>
          <w:rFonts w:cs="Arial"/>
        </w:rPr>
        <w:t>Montana Fall Prevention Coalition</w:t>
      </w:r>
      <w:hyperlink r:id="rId39" w:history="1">
        <w:r w:rsidRPr="00D035EB">
          <w:rPr>
            <w:rStyle w:val="Hyperlink"/>
            <w:rFonts w:cs="Arial"/>
          </w:rPr>
          <w:t>: http://www.ncoa.org/improve-health/center-for-healthy- aging/ falls-prevention/state-coalitions-map/montana.html</w:t>
        </w:r>
      </w:hyperlink>
    </w:p>
    <w:p w:rsidR="00067FEC" w:rsidRPr="00D035EB" w:rsidRDefault="00067FEC" w:rsidP="005674D0">
      <w:pPr>
        <w:rPr>
          <w:rFonts w:cs="Arial"/>
        </w:rPr>
      </w:pPr>
      <w:r w:rsidRPr="00D035EB">
        <w:rPr>
          <w:rFonts w:eastAsia="Times New Roman" w:cs="Arial"/>
        </w:rPr>
        <w:t>Montana Health Coalition</w:t>
      </w:r>
      <w:r w:rsidRPr="00D035EB">
        <w:rPr>
          <w:rFonts w:eastAsia="Times New Roman" w:cs="Arial"/>
          <w:b/>
        </w:rPr>
        <w:t>:</w:t>
      </w:r>
      <w:r w:rsidRPr="00D035EB">
        <w:rPr>
          <w:rStyle w:val="FootnoteReference"/>
          <w:rFonts w:eastAsia="Times New Roman" w:cs="Arial"/>
        </w:rPr>
        <w:t xml:space="preserve"> </w:t>
      </w:r>
      <w:r w:rsidRPr="00D035EB">
        <w:rPr>
          <w:rFonts w:cs="Arial"/>
        </w:rPr>
        <w:t xml:space="preserve"> </w:t>
      </w:r>
      <w:hyperlink r:id="rId40" w:history="1">
        <w:r w:rsidRPr="00D035EB">
          <w:rPr>
            <w:rStyle w:val="Hyperlink"/>
            <w:rFonts w:cs="Arial"/>
          </w:rPr>
          <w:t>http://www.dphhs.mt.gov/boardscouncils/montanahealthcoalition.shtml</w:t>
        </w:r>
      </w:hyperlink>
    </w:p>
    <w:p w:rsidR="00067FEC" w:rsidRPr="00D035EB" w:rsidRDefault="00067FEC" w:rsidP="005674D0">
      <w:pPr>
        <w:rPr>
          <w:rFonts w:cs="Arial"/>
        </w:rPr>
      </w:pPr>
      <w:r w:rsidRPr="00D035EB">
        <w:rPr>
          <w:rFonts w:cs="Arial"/>
        </w:rPr>
        <w:t xml:space="preserve">Montana Injury Prevention Coalition: </w:t>
      </w:r>
      <w:hyperlink r:id="rId41" w:history="1">
        <w:r w:rsidRPr="00D035EB">
          <w:rPr>
            <w:rStyle w:val="Hyperlink"/>
            <w:rFonts w:cs="Arial"/>
          </w:rPr>
          <w:t>http://www.dphhs.mt.gov/ems/prevention/documents/StatePreventionPlan.pdf</w:t>
        </w:r>
      </w:hyperlink>
    </w:p>
    <w:p w:rsidR="00067FEC" w:rsidRPr="00E11116" w:rsidRDefault="00067FEC" w:rsidP="005674D0">
      <w:pPr>
        <w:rPr>
          <w:rFonts w:cs="Arial"/>
        </w:rPr>
      </w:pPr>
      <w:r w:rsidRPr="00E11116">
        <w:rPr>
          <w:rFonts w:cs="Arial"/>
        </w:rPr>
        <w:t xml:space="preserve">Montana Lifetime Respite Care Coalitions: </w:t>
      </w:r>
      <w:hyperlink r:id="rId42" w:history="1">
        <w:r w:rsidRPr="00E11116">
          <w:rPr>
            <w:rStyle w:val="Hyperlink"/>
            <w:rFonts w:cs="Arial"/>
          </w:rPr>
          <w:t>http://archrespite.org/lifespan-programs</w:t>
        </w:r>
      </w:hyperlink>
      <w:r w:rsidRPr="00E11116">
        <w:rPr>
          <w:rFonts w:cs="Arial"/>
        </w:rPr>
        <w:t xml:space="preserve"> </w:t>
      </w:r>
    </w:p>
    <w:p w:rsidR="00067FEC" w:rsidRPr="00E11116" w:rsidRDefault="00067FEC" w:rsidP="005674D0">
      <w:pPr>
        <w:rPr>
          <w:rFonts w:cs="Arial"/>
        </w:rPr>
      </w:pPr>
      <w:r w:rsidRPr="00E11116">
        <w:rPr>
          <w:rFonts w:cs="Arial"/>
        </w:rPr>
        <w:t xml:space="preserve">Montana Prevention Coalition:  </w:t>
      </w:r>
      <w:hyperlink r:id="rId43" w:history="1">
        <w:r w:rsidRPr="00E11116">
          <w:rPr>
            <w:rStyle w:val="Hyperlink"/>
            <w:rFonts w:cs="Arial"/>
          </w:rPr>
          <w:t>http://www.boydandrew.com/services/mpc/</w:t>
        </w:r>
      </w:hyperlink>
    </w:p>
    <w:p w:rsidR="00067FEC" w:rsidRPr="00E11116" w:rsidRDefault="00067FEC" w:rsidP="005674D0">
      <w:pPr>
        <w:rPr>
          <w:rFonts w:cs="Arial"/>
          <w:sz w:val="21"/>
          <w:szCs w:val="21"/>
        </w:rPr>
      </w:pPr>
      <w:r w:rsidRPr="00E11116">
        <w:rPr>
          <w:rFonts w:cs="Arial"/>
        </w:rPr>
        <w:t xml:space="preserve">Montana Worksite Health Promotion Coalition: </w:t>
      </w:r>
      <w:hyperlink r:id="rId44" w:history="1">
        <w:r w:rsidRPr="00E11116">
          <w:rPr>
            <w:rStyle w:val="Hyperlink"/>
            <w:rFonts w:cs="Arial"/>
            <w:sz w:val="21"/>
            <w:szCs w:val="21"/>
          </w:rPr>
          <w:t>http://www.dphhs.mt.gov/newsevents/newsreleases2012/may/worksitehealthconference.shtml</w:t>
        </w:r>
      </w:hyperlink>
    </w:p>
    <w:p w:rsidR="00067FEC" w:rsidRPr="00E11116" w:rsidRDefault="00067FEC" w:rsidP="005674D0">
      <w:pPr>
        <w:rPr>
          <w:rFonts w:cs="Arial"/>
        </w:rPr>
      </w:pPr>
      <w:bookmarkStart w:id="38" w:name="top"/>
      <w:bookmarkEnd w:id="38"/>
      <w:r w:rsidRPr="00E11116">
        <w:rPr>
          <w:rFonts w:cs="Arial"/>
        </w:rPr>
        <w:t xml:space="preserve">Youth Connection Coalition:  </w:t>
      </w:r>
      <w:hyperlink r:id="rId45" w:history="1">
        <w:r w:rsidRPr="00E11116">
          <w:rPr>
            <w:rStyle w:val="Hyperlink"/>
            <w:rFonts w:cs="Arial"/>
          </w:rPr>
          <w:t>http://prevention.mt.gov/resource/coalitions/view.php?id=2371</w:t>
        </w:r>
      </w:hyperlink>
    </w:p>
    <w:p w:rsidR="00067FEC" w:rsidRPr="008418AB" w:rsidRDefault="00067FEC" w:rsidP="008418AB">
      <w:pPr>
        <w:rPr>
          <w:rStyle w:val="Strong"/>
          <w:u w:val="single"/>
        </w:rPr>
      </w:pPr>
      <w:r w:rsidRPr="008418AB">
        <w:rPr>
          <w:rStyle w:val="Strong"/>
          <w:u w:val="single"/>
        </w:rPr>
        <w:t>Community Coalitions</w:t>
      </w:r>
    </w:p>
    <w:p w:rsidR="00067FEC" w:rsidRDefault="00067FEC" w:rsidP="00067FEC">
      <w:pPr>
        <w:spacing w:after="0"/>
      </w:pPr>
      <w:r>
        <w:t xml:space="preserve">The Prevention Resource Center, located within the MTDPHHS, has a listing of community coalitions at: </w:t>
      </w:r>
    </w:p>
    <w:p w:rsidR="00BA2680" w:rsidRDefault="00B655D7" w:rsidP="00484489">
      <w:pPr>
        <w:spacing w:after="240" w:line="240" w:lineRule="auto"/>
        <w:rPr>
          <w:rStyle w:val="Strong"/>
        </w:rPr>
      </w:pPr>
      <w:hyperlink r:id="rId46" w:history="1">
        <w:r w:rsidR="00067FEC" w:rsidRPr="00E631EA">
          <w:rPr>
            <w:rStyle w:val="Hyperlink"/>
          </w:rPr>
          <w:t>http://prevention.mt.gov/resource/coalitions/index.php</w:t>
        </w:r>
      </w:hyperlink>
      <w:r w:rsidR="00D035EB">
        <w:rPr>
          <w:rFonts w:eastAsia="Times New Roman" w:cstheme="minorHAnsi"/>
          <w:b/>
          <w:color w:val="FFFFFF" w:themeColor="background1"/>
        </w:rPr>
        <w:t>l</w:t>
      </w:r>
    </w:p>
    <w:p w:rsidR="00484489" w:rsidRDefault="00484489" w:rsidP="008418AB">
      <w:pPr>
        <w:rPr>
          <w:rStyle w:val="Strong"/>
        </w:rPr>
      </w:pPr>
    </w:p>
    <w:p w:rsidR="005957D0" w:rsidRPr="008418AB" w:rsidRDefault="005957D0" w:rsidP="008418AB">
      <w:pPr>
        <w:rPr>
          <w:rStyle w:val="Strong"/>
        </w:rPr>
      </w:pPr>
      <w:r w:rsidRPr="008418AB">
        <w:rPr>
          <w:rStyle w:val="Strong"/>
        </w:rPr>
        <w:lastRenderedPageBreak/>
        <w:t xml:space="preserve">Activities </w:t>
      </w:r>
    </w:p>
    <w:p w:rsidR="005957D0" w:rsidRPr="00A4667E" w:rsidRDefault="005957D0" w:rsidP="008418AB">
      <w:pPr>
        <w:spacing w:after="120"/>
        <w:rPr>
          <w:rFonts w:cs="Arial"/>
          <w:color w:val="000000" w:themeColor="text1"/>
          <w:u w:val="single"/>
        </w:rPr>
      </w:pPr>
      <w:r w:rsidRPr="00A4667E">
        <w:rPr>
          <w:rFonts w:cs="Arial"/>
          <w:u w:val="single"/>
        </w:rPr>
        <w:t>MTDH:</w:t>
      </w:r>
      <w:r w:rsidRPr="00A4667E">
        <w:rPr>
          <w:rFonts w:cs="Arial"/>
          <w:color w:val="000000" w:themeColor="text1"/>
          <w:u w:val="single"/>
        </w:rPr>
        <w:t xml:space="preserve"> Meg Traci, PhD, PI, MTDH Program Director</w:t>
      </w:r>
    </w:p>
    <w:p w:rsidR="005957D0" w:rsidRPr="005957D0" w:rsidRDefault="005957D0" w:rsidP="00F9158C">
      <w:pPr>
        <w:pStyle w:val="ListParagraph"/>
        <w:numPr>
          <w:ilvl w:val="0"/>
          <w:numId w:val="10"/>
        </w:numPr>
        <w:spacing w:after="60" w:line="240" w:lineRule="auto"/>
        <w:rPr>
          <w:rFonts w:cs="Arial"/>
          <w:szCs w:val="22"/>
        </w:rPr>
      </w:pPr>
      <w:r w:rsidRPr="005957D0">
        <w:rPr>
          <w:rFonts w:cs="Arial"/>
          <w:szCs w:val="22"/>
        </w:rPr>
        <w:t>Review the MTDPHHS website to identify all coalitions sponsored by divisions/ programs within the Department.</w:t>
      </w:r>
    </w:p>
    <w:p w:rsidR="005957D0" w:rsidRPr="005957D0" w:rsidRDefault="005957D0" w:rsidP="005957D0">
      <w:pPr>
        <w:pStyle w:val="ListParagraph"/>
        <w:numPr>
          <w:ilvl w:val="0"/>
          <w:numId w:val="0"/>
        </w:numPr>
        <w:spacing w:after="60" w:line="240" w:lineRule="auto"/>
        <w:ind w:left="1080"/>
        <w:rPr>
          <w:rFonts w:cs="Arial"/>
          <w:sz w:val="6"/>
          <w:szCs w:val="6"/>
        </w:rPr>
      </w:pPr>
    </w:p>
    <w:p w:rsidR="005957D0" w:rsidRPr="005957D0" w:rsidRDefault="005957D0" w:rsidP="00F9158C">
      <w:pPr>
        <w:pStyle w:val="ListParagraph"/>
        <w:numPr>
          <w:ilvl w:val="0"/>
          <w:numId w:val="10"/>
        </w:numPr>
        <w:spacing w:after="120"/>
        <w:rPr>
          <w:rFonts w:cs="Arial"/>
          <w:szCs w:val="22"/>
        </w:rPr>
      </w:pPr>
      <w:r w:rsidRPr="005957D0">
        <w:rPr>
          <w:rFonts w:cs="Arial"/>
          <w:szCs w:val="22"/>
        </w:rPr>
        <w:t>Work with agency personnel to determine whether agency listings are current.</w:t>
      </w:r>
    </w:p>
    <w:p w:rsidR="005957D0" w:rsidRPr="005957D0" w:rsidRDefault="005957D0" w:rsidP="005957D0">
      <w:pPr>
        <w:pStyle w:val="ListParagraph"/>
        <w:numPr>
          <w:ilvl w:val="0"/>
          <w:numId w:val="0"/>
        </w:numPr>
        <w:ind w:left="360"/>
        <w:rPr>
          <w:rFonts w:cs="Arial"/>
          <w:sz w:val="6"/>
          <w:szCs w:val="6"/>
        </w:rPr>
      </w:pPr>
    </w:p>
    <w:p w:rsidR="005957D0" w:rsidRPr="005957D0" w:rsidRDefault="005957D0" w:rsidP="00F9158C">
      <w:pPr>
        <w:pStyle w:val="ListParagraph"/>
        <w:numPr>
          <w:ilvl w:val="0"/>
          <w:numId w:val="10"/>
        </w:numPr>
        <w:spacing w:after="120"/>
        <w:rPr>
          <w:rFonts w:cs="Arial"/>
          <w:szCs w:val="22"/>
        </w:rPr>
      </w:pPr>
      <w:r w:rsidRPr="005957D0">
        <w:rPr>
          <w:rFonts w:cs="Arial"/>
          <w:szCs w:val="22"/>
        </w:rPr>
        <w:t>Communicate with coalition staff to assure that people with disabilities are adequately represented within the coalition.</w:t>
      </w:r>
    </w:p>
    <w:p w:rsidR="005957D0" w:rsidRPr="005957D0" w:rsidRDefault="005957D0" w:rsidP="005957D0">
      <w:pPr>
        <w:pStyle w:val="ListParagraph"/>
        <w:numPr>
          <w:ilvl w:val="0"/>
          <w:numId w:val="0"/>
        </w:numPr>
        <w:ind w:left="360"/>
        <w:rPr>
          <w:rFonts w:cs="Arial"/>
          <w:sz w:val="6"/>
          <w:szCs w:val="6"/>
        </w:rPr>
      </w:pPr>
    </w:p>
    <w:p w:rsidR="009367EB" w:rsidRPr="008418AB" w:rsidRDefault="005957D0" w:rsidP="00F9158C">
      <w:pPr>
        <w:pStyle w:val="ListParagraph"/>
        <w:numPr>
          <w:ilvl w:val="0"/>
          <w:numId w:val="10"/>
        </w:numPr>
        <w:spacing w:after="120"/>
        <w:rPr>
          <w:rFonts w:cs="Arial"/>
          <w:szCs w:val="22"/>
        </w:rPr>
      </w:pPr>
      <w:r w:rsidRPr="005957D0">
        <w:rPr>
          <w:rFonts w:cs="Arial"/>
          <w:szCs w:val="22"/>
        </w:rPr>
        <w:t>Increase the number of Disability Advisors who can be involved within the</w:t>
      </w:r>
      <w:r w:rsidR="00A4667E">
        <w:rPr>
          <w:rFonts w:cs="Arial"/>
          <w:szCs w:val="22"/>
        </w:rPr>
        <w:t xml:space="preserve"> </w:t>
      </w:r>
      <w:r w:rsidRPr="005957D0">
        <w:rPr>
          <w:rFonts w:cs="Arial"/>
          <w:szCs w:val="22"/>
        </w:rPr>
        <w:t>coalitions.</w:t>
      </w:r>
    </w:p>
    <w:p w:rsidR="009367EB" w:rsidRPr="00546285" w:rsidRDefault="009367EB" w:rsidP="008418AB">
      <w:pPr>
        <w:pStyle w:val="Heading3"/>
      </w:pPr>
      <w:bookmarkStart w:id="39" w:name="_Toc403370693"/>
      <w:r w:rsidRPr="00546285">
        <w:t>Outcome Goal Two: Support Direct Services and Programs</w:t>
      </w:r>
      <w:bookmarkEnd w:id="39"/>
    </w:p>
    <w:p w:rsidR="009367EB" w:rsidRPr="009367EB" w:rsidRDefault="009367EB" w:rsidP="008418AB">
      <w:r w:rsidRPr="009367EB">
        <w:t xml:space="preserve">Increasing the availability of direct services and programs designed specifically for people with disabilities has been shown to improve health, prevent secondary conditions, and create greater consumer participation in health promotion activities.  </w:t>
      </w:r>
    </w:p>
    <w:p w:rsidR="009367EB" w:rsidRDefault="009367EB" w:rsidP="008418AB">
      <w:r w:rsidRPr="009367EB">
        <w:t xml:space="preserve">MTDH Program staff has designed specific programs to fit the needs and strengths of people with disabilities including </w:t>
      </w:r>
      <w:r w:rsidRPr="009367EB">
        <w:rPr>
          <w:i/>
        </w:rPr>
        <w:t>Living Well with a Disability (LWD)</w:t>
      </w:r>
      <w:r w:rsidRPr="009367EB">
        <w:t xml:space="preserve"> and </w:t>
      </w:r>
      <w:r w:rsidRPr="009367EB">
        <w:rPr>
          <w:i/>
        </w:rPr>
        <w:t>MENU-AIDDS</w:t>
      </w:r>
      <w:r w:rsidRPr="009367EB">
        <w:t>.</w:t>
      </w:r>
      <w:r w:rsidRPr="009367EB">
        <w:rPr>
          <w:rStyle w:val="FootnoteReference"/>
          <w:rFonts w:cs="Arial"/>
        </w:rPr>
        <w:footnoteReference w:id="74"/>
      </w:r>
      <w:r w:rsidRPr="008418AB">
        <w:t xml:space="preserve"> These programs are effective in improving participant health and well being and are slated for expansion over the next five years</w:t>
      </w:r>
      <w:r w:rsidR="00A05423">
        <w:t>.</w:t>
      </w:r>
    </w:p>
    <w:p w:rsidR="00A05423" w:rsidRPr="00A05423" w:rsidRDefault="00A05423" w:rsidP="00A05423">
      <w:pPr>
        <w:rPr>
          <w:rStyle w:val="Strong"/>
        </w:rPr>
      </w:pPr>
      <w:r w:rsidRPr="00A05423">
        <w:rPr>
          <w:rStyle w:val="Strong"/>
        </w:rPr>
        <w:t>Objective 2A</w:t>
      </w:r>
    </w:p>
    <w:p w:rsidR="00A05423" w:rsidRPr="00A05423" w:rsidRDefault="00A05423" w:rsidP="00A05423">
      <w:pPr>
        <w:rPr>
          <w:rStyle w:val="Strong"/>
        </w:rPr>
      </w:pPr>
      <w:r w:rsidRPr="00A05423">
        <w:rPr>
          <w:rStyle w:val="Strong"/>
        </w:rPr>
        <w:t>By June 30, 2015, offer 10 nutritional health promotions/ programs/ events/ activities, at a variety of educational venues and through innovative dissemination routes, with relevant and appropriate information to at least 500 Montanans with disabilities, focusing on persons with intellectual and developmental disabilities and their supporters and health care teams.</w:t>
      </w:r>
    </w:p>
    <w:p w:rsidR="00D3792F" w:rsidRPr="008418AB" w:rsidRDefault="00D3792F" w:rsidP="008418AB">
      <w:pPr>
        <w:rPr>
          <w:rStyle w:val="Strong"/>
        </w:rPr>
      </w:pPr>
      <w:r w:rsidRPr="008418AB">
        <w:rPr>
          <w:rStyle w:val="Strong"/>
        </w:rPr>
        <w:t>Rationale</w:t>
      </w:r>
    </w:p>
    <w:p w:rsidR="009C6FA6" w:rsidRPr="008418AB" w:rsidRDefault="00D3792F" w:rsidP="008418AB">
      <w:pPr>
        <w:rPr>
          <w:rFonts w:cs="Arial"/>
          <w:color w:val="000000"/>
        </w:rPr>
      </w:pPr>
      <w:r w:rsidRPr="00D3792F">
        <w:rPr>
          <w:rFonts w:cs="Arial"/>
          <w:color w:val="000000"/>
        </w:rPr>
        <w:t>Adults with intellectual or developmental disabilities experience poorer nutritional health than the general population. In 2002, the U.S. Surgeon General declared improved nutrit</w:t>
      </w:r>
      <w:r>
        <w:rPr>
          <w:rFonts w:cs="Arial"/>
          <w:color w:val="000000"/>
        </w:rPr>
        <w:t>ion (</w:t>
      </w:r>
      <w:r w:rsidRPr="00D3792F">
        <w:rPr>
          <w:rFonts w:cs="Arial"/>
          <w:color w:val="000000"/>
        </w:rPr>
        <w:t>including the purpose of reducing obesity and improving chro</w:t>
      </w:r>
      <w:r>
        <w:rPr>
          <w:rFonts w:cs="Arial"/>
          <w:color w:val="000000"/>
        </w:rPr>
        <w:t>nic disease for this population)</w:t>
      </w:r>
      <w:r w:rsidRPr="00D3792F">
        <w:rPr>
          <w:rFonts w:cs="Arial"/>
          <w:color w:val="000000"/>
        </w:rPr>
        <w:t xml:space="preserve"> to be a national priority. </w:t>
      </w:r>
    </w:p>
    <w:p w:rsidR="005674D0" w:rsidRDefault="009C6FA6" w:rsidP="00E87106">
      <w:pPr>
        <w:rPr>
          <w:rFonts w:cs="Arial"/>
          <w:color w:val="000000"/>
        </w:rPr>
        <w:sectPr w:rsidR="005674D0" w:rsidSect="00A07593">
          <w:pgSz w:w="12240" w:h="15840"/>
          <w:pgMar w:top="1440" w:right="1440" w:bottom="1440" w:left="1440" w:header="720" w:footer="720" w:gutter="0"/>
          <w:cols w:space="720"/>
          <w:docGrid w:linePitch="360"/>
        </w:sectPr>
      </w:pPr>
      <w:r w:rsidRPr="009C6FA6">
        <w:rPr>
          <w:rFonts w:cs="Arial"/>
          <w:color w:val="000000"/>
        </w:rPr>
        <w:t>Dietary intake in community-dwelling adults with IDD is inadequate, with diets high in fat and empty calories and deficient in fruits and vegetables, whole grains, and dairy products. Such poor diets lead to the nutrition-related concerns that are so prevalent in this population, like weight problems (over- or underweight), bowel and gastrointestinal dysfunction, diabetes, nutrient deficits, cardiovasc</w:t>
      </w:r>
      <w:r w:rsidR="005674D0">
        <w:rPr>
          <w:rFonts w:cs="Arial"/>
          <w:color w:val="000000"/>
        </w:rPr>
        <w:t>ular disease, and osteoporosis.</w:t>
      </w:r>
    </w:p>
    <w:p w:rsidR="00BA2680" w:rsidRPr="005674D0" w:rsidRDefault="00BA2680" w:rsidP="00E87106">
      <w:pPr>
        <w:rPr>
          <w:rStyle w:val="Strong"/>
          <w:rFonts w:cs="Arial"/>
          <w:b w:val="0"/>
          <w:bCs w:val="0"/>
          <w:color w:val="000000"/>
        </w:rPr>
      </w:pPr>
    </w:p>
    <w:p w:rsidR="00281C5B" w:rsidRPr="008418AB" w:rsidRDefault="00281C5B" w:rsidP="00E87106">
      <w:pPr>
        <w:rPr>
          <w:rStyle w:val="Strong"/>
        </w:rPr>
      </w:pPr>
      <w:r w:rsidRPr="008418AB">
        <w:rPr>
          <w:rStyle w:val="Strong"/>
        </w:rPr>
        <w:t>Activities</w:t>
      </w:r>
    </w:p>
    <w:p w:rsidR="00281C5B" w:rsidRDefault="00281C5B" w:rsidP="008418AB">
      <w:pPr>
        <w:spacing w:line="240" w:lineRule="auto"/>
        <w:rPr>
          <w:sz w:val="24"/>
          <w:szCs w:val="24"/>
          <w:u w:val="single"/>
        </w:rPr>
      </w:pPr>
      <w:r w:rsidRPr="00407863">
        <w:rPr>
          <w:sz w:val="24"/>
          <w:szCs w:val="24"/>
          <w:u w:val="single"/>
        </w:rPr>
        <w:t>MTDH</w:t>
      </w:r>
      <w:r>
        <w:rPr>
          <w:sz w:val="24"/>
          <w:szCs w:val="24"/>
          <w:u w:val="single"/>
        </w:rPr>
        <w:t xml:space="preserve">: </w:t>
      </w:r>
    </w:p>
    <w:p w:rsidR="00281C5B" w:rsidRPr="00281C5B" w:rsidRDefault="00281C5B" w:rsidP="00F9158C">
      <w:pPr>
        <w:pStyle w:val="ListParagraph"/>
        <w:numPr>
          <w:ilvl w:val="0"/>
          <w:numId w:val="63"/>
        </w:numPr>
      </w:pPr>
      <w:r w:rsidRPr="00281C5B">
        <w:t>Continue to offer one MENU-AIDDs basic training in Montana per year.</w:t>
      </w:r>
    </w:p>
    <w:p w:rsidR="00281C5B" w:rsidRDefault="00281C5B" w:rsidP="00F9158C">
      <w:pPr>
        <w:pStyle w:val="ListParagraph"/>
        <w:numPr>
          <w:ilvl w:val="0"/>
          <w:numId w:val="63"/>
        </w:numPr>
      </w:pPr>
      <w:r w:rsidRPr="00281C5B">
        <w:t>Support current MENU-AIDDs users via booster trainings, online information and support material, and short webinars.</w:t>
      </w:r>
    </w:p>
    <w:p w:rsidR="00281C5B" w:rsidRPr="008418AB" w:rsidRDefault="00225152" w:rsidP="00F9158C">
      <w:pPr>
        <w:pStyle w:val="ListParagraph"/>
        <w:numPr>
          <w:ilvl w:val="0"/>
          <w:numId w:val="63"/>
        </w:numPr>
      </w:pPr>
      <w:r w:rsidRPr="00225152">
        <w:t>When possible,</w:t>
      </w:r>
      <w:r>
        <w:t xml:space="preserve"> </w:t>
      </w:r>
      <w:r w:rsidR="00281C5B" w:rsidRPr="00225152">
        <w:t>make the nutrition education and support materials applicable to Montanans of a variety of ages, individuals living in residential types other than community-based group homes, and persons with disabilities other than IDD.</w:t>
      </w:r>
    </w:p>
    <w:p w:rsidR="009028B5" w:rsidRDefault="00281C5B" w:rsidP="00F9158C">
      <w:pPr>
        <w:pStyle w:val="ListParagraph"/>
        <w:numPr>
          <w:ilvl w:val="0"/>
          <w:numId w:val="63"/>
        </w:numPr>
      </w:pPr>
      <w:r w:rsidRPr="00281C5B">
        <w:t>Integrate the MENU-AIDDs program evaluation into the statewide data monitoring systems, such as Therap</w:t>
      </w:r>
      <w:r w:rsidR="00A05423">
        <w:t>y</w:t>
      </w:r>
      <w:r w:rsidRPr="00281C5B">
        <w:t>.</w:t>
      </w:r>
    </w:p>
    <w:p w:rsidR="00A05423" w:rsidRPr="00A05423" w:rsidRDefault="00A05423" w:rsidP="00A05423">
      <w:pPr>
        <w:rPr>
          <w:rStyle w:val="Strong"/>
        </w:rPr>
      </w:pPr>
      <w:r w:rsidRPr="00A05423">
        <w:rPr>
          <w:rStyle w:val="Strong"/>
        </w:rPr>
        <w:t>Objective 2B</w:t>
      </w:r>
    </w:p>
    <w:p w:rsidR="00A05423" w:rsidRPr="00A05423" w:rsidRDefault="00A05423" w:rsidP="00A05423">
      <w:pPr>
        <w:rPr>
          <w:rStyle w:val="Strong"/>
        </w:rPr>
      </w:pPr>
      <w:r w:rsidRPr="00A05423">
        <w:rPr>
          <w:rStyle w:val="Strong"/>
        </w:rPr>
        <w:t>By June 30, 2015, provide: 12 facilitator training workshops for the Living Well with a Disability (LWD) Program,  &amp; 12 facilitator training workshops  for the Working Well with a Disability (WWD) Program  to increase the percentage of trained Montana facilitators by at least 5%.</w:t>
      </w:r>
    </w:p>
    <w:p w:rsidR="009028B5" w:rsidRPr="007E1D2D" w:rsidRDefault="009028B5" w:rsidP="007E1D2D">
      <w:pPr>
        <w:rPr>
          <w:rStyle w:val="Strong"/>
        </w:rPr>
      </w:pPr>
      <w:r w:rsidRPr="007E1D2D">
        <w:rPr>
          <w:rStyle w:val="Strong"/>
        </w:rPr>
        <w:t>Rationale</w:t>
      </w:r>
    </w:p>
    <w:p w:rsidR="009028B5" w:rsidRPr="009028B5" w:rsidRDefault="009028B5" w:rsidP="00057F0F">
      <w:pPr>
        <w:spacing w:after="160"/>
        <w:rPr>
          <w:rFonts w:cs="Arial"/>
        </w:rPr>
      </w:pPr>
      <w:r w:rsidRPr="009028B5">
        <w:rPr>
          <w:rFonts w:cs="Arial"/>
        </w:rPr>
        <w:t xml:space="preserve">“Researchers at the </w:t>
      </w:r>
      <w:r w:rsidRPr="009028B5">
        <w:rPr>
          <w:rFonts w:cs="Arial"/>
          <w:i/>
        </w:rPr>
        <w:t>UMRI</w:t>
      </w:r>
      <w:r w:rsidRPr="009028B5">
        <w:rPr>
          <w:rFonts w:cs="Arial"/>
        </w:rPr>
        <w:t xml:space="preserve"> and the </w:t>
      </w:r>
      <w:r w:rsidRPr="009028B5">
        <w:rPr>
          <w:rFonts w:cs="Arial"/>
          <w:i/>
        </w:rPr>
        <w:t>University of Kansas, Research and Training Center on Independent Living</w:t>
      </w:r>
      <w:r w:rsidRPr="009028B5">
        <w:rPr>
          <w:rFonts w:cs="Arial"/>
        </w:rPr>
        <w:t xml:space="preserve"> developed the LWD program in collaboration with centers for independent living and their consumers. The program is the culmination of 20 years of research and program development aimed at reducing the severity and incidence of secondary conditions.  Program evaluation indicates that LWD workshop graduates report less limitation from secondary conditions, fewer unhealthy days and less health care utilization. Ongoing research indicates that people with disabilities can manage and even prevent the negative effects of secondary conditions through health promotion activities (Ravesloot, et. al., 2007).</w:t>
      </w:r>
      <w:r w:rsidRPr="009028B5">
        <w:rPr>
          <w:rStyle w:val="FootnoteReference"/>
          <w:rFonts w:cs="Arial"/>
        </w:rPr>
        <w:footnoteReference w:id="75"/>
      </w:r>
    </w:p>
    <w:p w:rsidR="009028B5" w:rsidRPr="009028B5" w:rsidRDefault="009028B5" w:rsidP="00057F0F">
      <w:pPr>
        <w:spacing w:after="160"/>
        <w:rPr>
          <w:rFonts w:cs="Arial"/>
          <w:b/>
          <w:i/>
        </w:rPr>
      </w:pPr>
      <w:r w:rsidRPr="009028B5">
        <w:rPr>
          <w:rFonts w:cs="Arial"/>
        </w:rPr>
        <w:t xml:space="preserve">Findings also suggest that the people most affected by secondary conditions who actively participated in the </w:t>
      </w:r>
      <w:r w:rsidRPr="009028B5">
        <w:rPr>
          <w:rFonts w:cs="Arial"/>
          <w:i/>
        </w:rPr>
        <w:t>Working Well</w:t>
      </w:r>
      <w:r w:rsidRPr="009028B5">
        <w:rPr>
          <w:rFonts w:cs="Arial"/>
        </w:rPr>
        <w:t xml:space="preserve"> </w:t>
      </w:r>
      <w:r w:rsidRPr="009028B5">
        <w:rPr>
          <w:rFonts w:cs="Arial"/>
          <w:i/>
        </w:rPr>
        <w:t>with a Disability</w:t>
      </w:r>
      <w:r w:rsidRPr="009028B5">
        <w:rPr>
          <w:rFonts w:cs="Arial"/>
        </w:rPr>
        <w:t xml:space="preserve"> program experienced significant reductions in limitation from secondary conditions.  Past studies indicate that higher rates of secondary conditions are associated with worse employment outcomes.</w:t>
      </w:r>
      <w:r w:rsidRPr="009028B5">
        <w:rPr>
          <w:rStyle w:val="FootnoteReference"/>
          <w:rFonts w:cs="Arial"/>
        </w:rPr>
        <w:footnoteReference w:id="76"/>
      </w:r>
      <w:r w:rsidRPr="009028B5">
        <w:rPr>
          <w:rFonts w:cs="Arial"/>
        </w:rPr>
        <w:t xml:space="preserve"> </w:t>
      </w:r>
    </w:p>
    <w:p w:rsidR="009028B5" w:rsidRPr="007E1D2D" w:rsidRDefault="009028B5" w:rsidP="007E1D2D">
      <w:pPr>
        <w:rPr>
          <w:rStyle w:val="Strong"/>
        </w:rPr>
      </w:pPr>
      <w:r w:rsidRPr="007E1D2D">
        <w:rPr>
          <w:rStyle w:val="Strong"/>
        </w:rPr>
        <w:t>Activities</w:t>
      </w:r>
    </w:p>
    <w:p w:rsidR="009028B5" w:rsidRPr="009028B5" w:rsidRDefault="009028B5" w:rsidP="007E1D2D">
      <w:pPr>
        <w:spacing w:after="120" w:line="240" w:lineRule="auto"/>
        <w:rPr>
          <w:rFonts w:cs="Arial"/>
          <w:u w:val="single"/>
        </w:rPr>
      </w:pPr>
      <w:r w:rsidRPr="009028B5">
        <w:rPr>
          <w:rFonts w:cs="Arial"/>
          <w:u w:val="single"/>
        </w:rPr>
        <w:t>MTDH /</w:t>
      </w:r>
      <w:r w:rsidRPr="009028B5">
        <w:rPr>
          <w:rFonts w:cs="Arial"/>
          <w:color w:val="000000" w:themeColor="text1"/>
          <w:u w:val="single"/>
        </w:rPr>
        <w:t xml:space="preserve">Craig Ravesloot, PhD, PI, </w:t>
      </w:r>
      <w:r w:rsidRPr="009028B5">
        <w:rPr>
          <w:rFonts w:cs="Arial"/>
          <w:u w:val="single"/>
        </w:rPr>
        <w:t>Director, Rural Health Research</w:t>
      </w:r>
    </w:p>
    <w:p w:rsidR="009028B5" w:rsidRPr="009028B5" w:rsidRDefault="009028B5" w:rsidP="00F9158C">
      <w:pPr>
        <w:numPr>
          <w:ilvl w:val="0"/>
          <w:numId w:val="64"/>
        </w:numPr>
        <w:spacing w:after="0" w:line="240" w:lineRule="auto"/>
        <w:contextualSpacing/>
        <w:rPr>
          <w:rFonts w:cs="Arial"/>
        </w:rPr>
      </w:pPr>
      <w:r w:rsidRPr="009028B5">
        <w:rPr>
          <w:rFonts w:cs="Arial"/>
        </w:rPr>
        <w:t>Work with Vocational Rehabilitation to orchestrate consistent referrals and reimbursement for both LWD and WWD.</w:t>
      </w:r>
    </w:p>
    <w:p w:rsidR="009028B5" w:rsidRPr="009028B5" w:rsidRDefault="009028B5" w:rsidP="009028B5">
      <w:pPr>
        <w:spacing w:after="80" w:line="240" w:lineRule="auto"/>
        <w:ind w:left="1080" w:hanging="360"/>
        <w:contextualSpacing/>
        <w:rPr>
          <w:rFonts w:cs="Arial"/>
          <w:sz w:val="10"/>
          <w:szCs w:val="10"/>
        </w:rPr>
      </w:pPr>
    </w:p>
    <w:p w:rsidR="009028B5" w:rsidRPr="009028B5" w:rsidRDefault="009028B5" w:rsidP="00F9158C">
      <w:pPr>
        <w:numPr>
          <w:ilvl w:val="0"/>
          <w:numId w:val="64"/>
        </w:numPr>
        <w:spacing w:after="60" w:line="240" w:lineRule="auto"/>
        <w:contextualSpacing/>
        <w:rPr>
          <w:rFonts w:cs="Arial"/>
        </w:rPr>
      </w:pPr>
      <w:r w:rsidRPr="009028B5">
        <w:rPr>
          <w:rFonts w:cs="Arial"/>
        </w:rPr>
        <w:t>Solicit feedback and ideas from CILs regarding the best ways to make LWD and WWD sustainable to steer activities.</w:t>
      </w:r>
    </w:p>
    <w:p w:rsidR="009028B5" w:rsidRPr="009028B5" w:rsidRDefault="009028B5" w:rsidP="009028B5">
      <w:pPr>
        <w:spacing w:after="120" w:line="240" w:lineRule="auto"/>
        <w:ind w:left="1080" w:hanging="360"/>
        <w:contextualSpacing/>
        <w:rPr>
          <w:rFonts w:cs="Arial"/>
          <w:sz w:val="10"/>
          <w:szCs w:val="10"/>
        </w:rPr>
      </w:pPr>
    </w:p>
    <w:p w:rsidR="009028B5" w:rsidRPr="009028B5" w:rsidRDefault="009028B5" w:rsidP="00F9158C">
      <w:pPr>
        <w:numPr>
          <w:ilvl w:val="0"/>
          <w:numId w:val="64"/>
        </w:numPr>
        <w:spacing w:after="0" w:line="240" w:lineRule="auto"/>
        <w:contextualSpacing/>
        <w:rPr>
          <w:rFonts w:cs="Arial"/>
        </w:rPr>
      </w:pPr>
      <w:r w:rsidRPr="009028B5">
        <w:rPr>
          <w:rFonts w:cs="Arial"/>
        </w:rPr>
        <w:t>Increase outreach to and establish partnerships with American Indian reservations in Montana.</w:t>
      </w:r>
    </w:p>
    <w:p w:rsidR="009028B5" w:rsidRPr="009028B5" w:rsidRDefault="009028B5" w:rsidP="009028B5">
      <w:pPr>
        <w:spacing w:after="80" w:line="240" w:lineRule="auto"/>
        <w:ind w:left="1080" w:hanging="360"/>
        <w:contextualSpacing/>
        <w:rPr>
          <w:rFonts w:cs="Arial"/>
          <w:sz w:val="10"/>
          <w:szCs w:val="10"/>
        </w:rPr>
      </w:pPr>
    </w:p>
    <w:p w:rsidR="009028B5" w:rsidRPr="009028B5" w:rsidRDefault="009028B5" w:rsidP="00F9158C">
      <w:pPr>
        <w:numPr>
          <w:ilvl w:val="0"/>
          <w:numId w:val="64"/>
        </w:numPr>
        <w:spacing w:after="240" w:line="240" w:lineRule="auto"/>
        <w:contextualSpacing/>
        <w:rPr>
          <w:rFonts w:cs="Arial"/>
        </w:rPr>
      </w:pPr>
      <w:r w:rsidRPr="009028B5">
        <w:rPr>
          <w:rFonts w:cs="Arial"/>
        </w:rPr>
        <w:t xml:space="preserve">Actively seek funding to develop LWD for youth. </w:t>
      </w:r>
    </w:p>
    <w:p w:rsidR="009028B5" w:rsidRPr="009028B5" w:rsidRDefault="009028B5" w:rsidP="009028B5">
      <w:pPr>
        <w:spacing w:after="80" w:line="240" w:lineRule="auto"/>
        <w:ind w:left="1080" w:hanging="360"/>
        <w:contextualSpacing/>
        <w:rPr>
          <w:rFonts w:cs="Arial"/>
          <w:sz w:val="10"/>
          <w:szCs w:val="10"/>
        </w:rPr>
      </w:pPr>
    </w:p>
    <w:p w:rsidR="009028B5" w:rsidRPr="009028B5" w:rsidRDefault="009028B5" w:rsidP="00F9158C">
      <w:pPr>
        <w:numPr>
          <w:ilvl w:val="0"/>
          <w:numId w:val="64"/>
        </w:numPr>
        <w:spacing w:after="120" w:line="240" w:lineRule="auto"/>
        <w:contextualSpacing/>
        <w:rPr>
          <w:rFonts w:cs="Arial"/>
        </w:rPr>
      </w:pPr>
      <w:r w:rsidRPr="009028B5">
        <w:rPr>
          <w:rFonts w:cs="Arial"/>
        </w:rPr>
        <w:t>Connect WWD to Vocational Rehabilitation for youth.</w:t>
      </w:r>
    </w:p>
    <w:p w:rsidR="009028B5" w:rsidRPr="00DF76AF" w:rsidRDefault="009028B5" w:rsidP="009028B5">
      <w:pPr>
        <w:spacing w:after="80" w:line="240" w:lineRule="auto"/>
        <w:ind w:left="1080" w:hanging="360"/>
        <w:contextualSpacing/>
        <w:rPr>
          <w:sz w:val="6"/>
          <w:szCs w:val="6"/>
        </w:rPr>
      </w:pPr>
    </w:p>
    <w:p w:rsidR="009028B5" w:rsidRPr="009028B5" w:rsidRDefault="009028B5" w:rsidP="00F9158C">
      <w:pPr>
        <w:numPr>
          <w:ilvl w:val="0"/>
          <w:numId w:val="64"/>
        </w:numPr>
        <w:spacing w:after="120" w:line="240" w:lineRule="auto"/>
        <w:contextualSpacing/>
        <w:rPr>
          <w:rFonts w:cs="Arial"/>
        </w:rPr>
      </w:pPr>
      <w:r w:rsidRPr="009028B5">
        <w:rPr>
          <w:rFonts w:cs="Arial"/>
        </w:rPr>
        <w:t>Promote LWD to Disability Student Services on college campuses by:</w:t>
      </w:r>
    </w:p>
    <w:p w:rsidR="009028B5" w:rsidRPr="009028B5" w:rsidRDefault="009028B5" w:rsidP="00F9158C">
      <w:pPr>
        <w:pStyle w:val="ListParagraph"/>
        <w:numPr>
          <w:ilvl w:val="1"/>
          <w:numId w:val="64"/>
        </w:numPr>
        <w:outlineLvl w:val="9"/>
        <w:rPr>
          <w:rFonts w:cs="Arial"/>
          <w:szCs w:val="22"/>
        </w:rPr>
      </w:pPr>
      <w:r w:rsidRPr="009028B5">
        <w:rPr>
          <w:rFonts w:cs="Arial"/>
          <w:szCs w:val="22"/>
        </w:rPr>
        <w:t xml:space="preserve">Including a self-management component in new student orientation, </w:t>
      </w:r>
    </w:p>
    <w:p w:rsidR="009028B5" w:rsidRPr="009028B5" w:rsidRDefault="009028B5" w:rsidP="00F9158C">
      <w:pPr>
        <w:pStyle w:val="ListParagraph"/>
        <w:numPr>
          <w:ilvl w:val="1"/>
          <w:numId w:val="64"/>
        </w:numPr>
        <w:outlineLvl w:val="9"/>
        <w:rPr>
          <w:rFonts w:cs="Arial"/>
          <w:szCs w:val="22"/>
        </w:rPr>
      </w:pPr>
      <w:r w:rsidRPr="009028B5">
        <w:rPr>
          <w:rFonts w:cs="Arial"/>
          <w:szCs w:val="22"/>
        </w:rPr>
        <w:t>Including all students, not just students with disabilities, and</w:t>
      </w:r>
    </w:p>
    <w:p w:rsidR="009028B5" w:rsidRPr="009028B5" w:rsidRDefault="009028B5" w:rsidP="00F9158C">
      <w:pPr>
        <w:pStyle w:val="ListParagraph"/>
        <w:numPr>
          <w:ilvl w:val="1"/>
          <w:numId w:val="64"/>
        </w:numPr>
        <w:spacing w:after="80"/>
        <w:outlineLvl w:val="9"/>
        <w:rPr>
          <w:rFonts w:cs="Arial"/>
          <w:szCs w:val="22"/>
        </w:rPr>
      </w:pPr>
      <w:r w:rsidRPr="009028B5">
        <w:rPr>
          <w:rFonts w:cs="Arial"/>
          <w:szCs w:val="22"/>
        </w:rPr>
        <w:t xml:space="preserve">Partnering with CILs to provide facilitators. </w:t>
      </w:r>
    </w:p>
    <w:p w:rsidR="009028B5" w:rsidRPr="009028B5" w:rsidRDefault="009028B5" w:rsidP="009028B5">
      <w:pPr>
        <w:pStyle w:val="ListParagraph"/>
        <w:numPr>
          <w:ilvl w:val="0"/>
          <w:numId w:val="0"/>
        </w:numPr>
        <w:spacing w:after="80" w:line="240" w:lineRule="auto"/>
        <w:ind w:left="1080" w:hanging="360"/>
        <w:outlineLvl w:val="9"/>
        <w:rPr>
          <w:rFonts w:cs="Arial"/>
          <w:sz w:val="8"/>
          <w:szCs w:val="8"/>
        </w:rPr>
      </w:pPr>
    </w:p>
    <w:p w:rsidR="009028B5" w:rsidRPr="009028B5" w:rsidRDefault="009028B5" w:rsidP="00F9158C">
      <w:pPr>
        <w:pStyle w:val="ListParagraph"/>
        <w:numPr>
          <w:ilvl w:val="0"/>
          <w:numId w:val="64"/>
        </w:numPr>
        <w:spacing w:after="80"/>
        <w:outlineLvl w:val="9"/>
        <w:rPr>
          <w:rFonts w:cs="Arial"/>
          <w:color w:val="FF0000"/>
          <w:szCs w:val="22"/>
        </w:rPr>
      </w:pPr>
      <w:r w:rsidRPr="009028B5">
        <w:rPr>
          <w:rFonts w:cs="Arial"/>
          <w:szCs w:val="22"/>
        </w:rPr>
        <w:t>Explore the possibility of LWD being incorporated into continuing education classes on college campuses while assuring the integrity of the program.</w:t>
      </w:r>
    </w:p>
    <w:p w:rsidR="009028B5" w:rsidRDefault="009028B5" w:rsidP="00F9158C">
      <w:pPr>
        <w:pStyle w:val="ListParagraph"/>
        <w:numPr>
          <w:ilvl w:val="0"/>
          <w:numId w:val="64"/>
        </w:numPr>
        <w:spacing w:after="80" w:line="240" w:lineRule="auto"/>
        <w:outlineLvl w:val="9"/>
        <w:rPr>
          <w:rFonts w:cs="Arial"/>
          <w:szCs w:val="22"/>
        </w:rPr>
      </w:pPr>
      <w:r w:rsidRPr="009028B5">
        <w:rPr>
          <w:rFonts w:cs="Arial"/>
          <w:szCs w:val="22"/>
        </w:rPr>
        <w:t>Partner with County Extension Offices to make referrals to LWD and WWD Programs.</w:t>
      </w:r>
    </w:p>
    <w:p w:rsidR="009028B5" w:rsidRPr="009028B5" w:rsidRDefault="009028B5" w:rsidP="00F9158C">
      <w:pPr>
        <w:numPr>
          <w:ilvl w:val="0"/>
          <w:numId w:val="64"/>
        </w:numPr>
        <w:spacing w:after="80" w:line="240" w:lineRule="auto"/>
        <w:contextualSpacing/>
        <w:rPr>
          <w:rFonts w:cs="Arial"/>
        </w:rPr>
      </w:pPr>
      <w:r w:rsidRPr="009028B5">
        <w:rPr>
          <w:rFonts w:cs="Arial"/>
        </w:rPr>
        <w:t xml:space="preserve">Collect outcome data from specific sentinel sites and collect process evaluation data from other sites in the state to address need for both effectiveness data and impact data. </w:t>
      </w:r>
    </w:p>
    <w:p w:rsidR="009028B5" w:rsidRPr="009028B5" w:rsidRDefault="009028B5" w:rsidP="00F9158C">
      <w:pPr>
        <w:pStyle w:val="ListParagraph"/>
        <w:numPr>
          <w:ilvl w:val="0"/>
          <w:numId w:val="64"/>
        </w:numPr>
        <w:spacing w:after="80" w:line="240" w:lineRule="auto"/>
        <w:ind w:right="-144"/>
        <w:outlineLvl w:val="9"/>
        <w:rPr>
          <w:rFonts w:cs="Arial"/>
          <w:szCs w:val="22"/>
        </w:rPr>
      </w:pPr>
      <w:r w:rsidRPr="009028B5">
        <w:rPr>
          <w:rFonts w:cs="Arial"/>
          <w:szCs w:val="22"/>
        </w:rPr>
        <w:t>Identify other evidence-based peer support programs.</w:t>
      </w:r>
    </w:p>
    <w:p w:rsidR="009028B5" w:rsidRPr="009028B5" w:rsidRDefault="009028B5" w:rsidP="009028B5">
      <w:pPr>
        <w:pStyle w:val="ListParagraph"/>
        <w:numPr>
          <w:ilvl w:val="0"/>
          <w:numId w:val="0"/>
        </w:numPr>
        <w:spacing w:after="80" w:line="240" w:lineRule="auto"/>
        <w:ind w:left="1080" w:right="-144" w:hanging="360"/>
        <w:outlineLvl w:val="9"/>
        <w:rPr>
          <w:rFonts w:cs="Arial"/>
          <w:sz w:val="8"/>
          <w:szCs w:val="8"/>
        </w:rPr>
      </w:pPr>
    </w:p>
    <w:p w:rsidR="009028B5" w:rsidRPr="009028B5" w:rsidRDefault="009028B5" w:rsidP="00F9158C">
      <w:pPr>
        <w:pStyle w:val="ListParagraph"/>
        <w:numPr>
          <w:ilvl w:val="0"/>
          <w:numId w:val="64"/>
        </w:numPr>
        <w:spacing w:after="80" w:line="240" w:lineRule="auto"/>
        <w:ind w:right="-144"/>
        <w:outlineLvl w:val="9"/>
        <w:rPr>
          <w:rFonts w:cs="Arial"/>
          <w:szCs w:val="22"/>
        </w:rPr>
      </w:pPr>
      <w:r w:rsidRPr="009028B5">
        <w:rPr>
          <w:rFonts w:cs="Arial"/>
          <w:szCs w:val="22"/>
        </w:rPr>
        <w:t xml:space="preserve">Develop and execute a survey to determine existing peer support groups for persons with disabilities living in Montana. </w:t>
      </w:r>
    </w:p>
    <w:p w:rsidR="009028B5" w:rsidRPr="009028B5" w:rsidRDefault="009028B5" w:rsidP="009028B5">
      <w:pPr>
        <w:pStyle w:val="ListParagraph"/>
        <w:numPr>
          <w:ilvl w:val="0"/>
          <w:numId w:val="0"/>
        </w:numPr>
        <w:spacing w:line="240" w:lineRule="auto"/>
        <w:ind w:left="1080" w:hanging="360"/>
        <w:rPr>
          <w:rFonts w:cs="Arial"/>
          <w:sz w:val="8"/>
          <w:szCs w:val="8"/>
        </w:rPr>
      </w:pPr>
    </w:p>
    <w:p w:rsidR="009028B5" w:rsidRPr="009028B5" w:rsidRDefault="009028B5" w:rsidP="00F9158C">
      <w:pPr>
        <w:pStyle w:val="ListParagraph"/>
        <w:numPr>
          <w:ilvl w:val="0"/>
          <w:numId w:val="64"/>
        </w:numPr>
        <w:spacing w:after="80" w:line="240" w:lineRule="auto"/>
        <w:ind w:right="-144"/>
        <w:outlineLvl w:val="9"/>
        <w:rPr>
          <w:rFonts w:cs="Arial"/>
          <w:szCs w:val="22"/>
        </w:rPr>
      </w:pPr>
      <w:r w:rsidRPr="009028B5">
        <w:rPr>
          <w:rFonts w:cs="Arial"/>
          <w:szCs w:val="22"/>
        </w:rPr>
        <w:t>Assess the need for peer support networks throughout Montana.</w:t>
      </w:r>
    </w:p>
    <w:p w:rsidR="009028B5" w:rsidRPr="009028B5" w:rsidRDefault="009028B5" w:rsidP="009028B5">
      <w:pPr>
        <w:pStyle w:val="ListParagraph"/>
        <w:numPr>
          <w:ilvl w:val="0"/>
          <w:numId w:val="0"/>
        </w:numPr>
        <w:spacing w:after="80" w:line="240" w:lineRule="auto"/>
        <w:ind w:left="1080" w:right="-144" w:hanging="360"/>
        <w:outlineLvl w:val="9"/>
        <w:rPr>
          <w:rFonts w:cs="Arial"/>
          <w:sz w:val="8"/>
          <w:szCs w:val="8"/>
        </w:rPr>
      </w:pPr>
    </w:p>
    <w:p w:rsidR="009028B5" w:rsidRPr="009028B5" w:rsidRDefault="009028B5" w:rsidP="00F9158C">
      <w:pPr>
        <w:pStyle w:val="ListParagraph"/>
        <w:numPr>
          <w:ilvl w:val="0"/>
          <w:numId w:val="64"/>
        </w:numPr>
        <w:spacing w:after="80" w:line="240" w:lineRule="auto"/>
        <w:outlineLvl w:val="9"/>
        <w:rPr>
          <w:rFonts w:cs="Arial"/>
          <w:szCs w:val="22"/>
        </w:rPr>
      </w:pPr>
      <w:r w:rsidRPr="009028B5">
        <w:rPr>
          <w:rFonts w:cs="Arial"/>
          <w:szCs w:val="22"/>
        </w:rPr>
        <w:t>Offer Peer Training, Peer Support Training and Peer Specialist Training through the LWD Program.</w:t>
      </w:r>
    </w:p>
    <w:p w:rsidR="009028B5" w:rsidRPr="009028B5" w:rsidRDefault="009028B5" w:rsidP="009028B5">
      <w:pPr>
        <w:pStyle w:val="ListParagraph"/>
        <w:numPr>
          <w:ilvl w:val="0"/>
          <w:numId w:val="0"/>
        </w:numPr>
        <w:spacing w:line="240" w:lineRule="auto"/>
        <w:ind w:left="1080" w:hanging="360"/>
        <w:rPr>
          <w:rFonts w:cs="Arial"/>
          <w:sz w:val="8"/>
          <w:szCs w:val="8"/>
        </w:rPr>
      </w:pPr>
    </w:p>
    <w:p w:rsidR="009028B5" w:rsidRPr="009028B5" w:rsidRDefault="009028B5" w:rsidP="00F9158C">
      <w:pPr>
        <w:pStyle w:val="ListParagraph"/>
        <w:numPr>
          <w:ilvl w:val="0"/>
          <w:numId w:val="64"/>
        </w:numPr>
        <w:spacing w:after="80" w:line="240" w:lineRule="auto"/>
        <w:ind w:right="-144"/>
        <w:outlineLvl w:val="9"/>
        <w:rPr>
          <w:rFonts w:cs="Arial"/>
          <w:szCs w:val="22"/>
        </w:rPr>
      </w:pPr>
      <w:r w:rsidRPr="009028B5">
        <w:rPr>
          <w:rFonts w:cs="Arial"/>
          <w:szCs w:val="22"/>
        </w:rPr>
        <w:t>Contact the VA hospital in Helena to identify viable peer support programs for amputees in Montana.</w:t>
      </w:r>
    </w:p>
    <w:p w:rsidR="009028B5" w:rsidRPr="009028B5" w:rsidRDefault="009028B5" w:rsidP="009028B5">
      <w:pPr>
        <w:pStyle w:val="ListParagraph"/>
        <w:numPr>
          <w:ilvl w:val="0"/>
          <w:numId w:val="0"/>
        </w:numPr>
        <w:spacing w:line="240" w:lineRule="auto"/>
        <w:ind w:left="1080" w:hanging="360"/>
        <w:rPr>
          <w:rFonts w:cs="Arial"/>
          <w:sz w:val="8"/>
          <w:szCs w:val="8"/>
        </w:rPr>
      </w:pPr>
    </w:p>
    <w:p w:rsidR="00BA2680" w:rsidRPr="00BA2680" w:rsidRDefault="009028B5" w:rsidP="00F9158C">
      <w:pPr>
        <w:pStyle w:val="ListParagraph"/>
        <w:numPr>
          <w:ilvl w:val="0"/>
          <w:numId w:val="64"/>
        </w:numPr>
        <w:spacing w:after="120" w:line="240" w:lineRule="auto"/>
        <w:outlineLvl w:val="9"/>
        <w:rPr>
          <w:rFonts w:cs="Arial"/>
          <w:szCs w:val="22"/>
        </w:rPr>
      </w:pPr>
      <w:r w:rsidRPr="009028B5">
        <w:rPr>
          <w:rFonts w:cs="Arial"/>
          <w:szCs w:val="22"/>
        </w:rPr>
        <w:t>Determine best practices for peer support networks.</w:t>
      </w:r>
    </w:p>
    <w:p w:rsidR="003538B7" w:rsidRPr="00BA2680" w:rsidRDefault="003538B7" w:rsidP="00BA2680">
      <w:pPr>
        <w:pStyle w:val="Heading3"/>
        <w:rPr>
          <w:rFonts w:cs="Arial"/>
        </w:rPr>
      </w:pPr>
      <w:bookmarkStart w:id="40" w:name="_Toc403370694"/>
      <w:r w:rsidRPr="00E11116">
        <w:t>Outcome Goal Three: Imp</w:t>
      </w:r>
      <w:r w:rsidR="00147802">
        <w:t>rove Access to Generic Services</w:t>
      </w:r>
      <w:bookmarkEnd w:id="40"/>
    </w:p>
    <w:p w:rsidR="007E1D2D" w:rsidRDefault="003538B7" w:rsidP="007E1D2D">
      <w:pPr>
        <w:pStyle w:val="NoSpacing"/>
        <w:rPr>
          <w:rFonts w:eastAsia="Times New Roman"/>
        </w:rPr>
      </w:pPr>
      <w:r w:rsidRPr="003538B7">
        <w:t>“</w:t>
      </w:r>
      <w:r w:rsidR="00A64493">
        <w:t>Today, about 57</w:t>
      </w:r>
      <w:r w:rsidRPr="003538B7">
        <w:t xml:space="preserve"> million Americans</w:t>
      </w:r>
      <w:r w:rsidR="00A64493">
        <w:t xml:space="preserve"> </w:t>
      </w:r>
      <w:r w:rsidRPr="003538B7">
        <w:t>are living with at least one disability, and most Americans will experience a disability some time during the course of their lives. Anyone can have a disability.”</w:t>
      </w:r>
      <w:r w:rsidRPr="003538B7">
        <w:rPr>
          <w:rStyle w:val="FootnoteReference"/>
          <w:rFonts w:eastAsia="Times New Roman" w:cs="Arial"/>
          <w:color w:val="000000"/>
        </w:rPr>
        <w:footnoteReference w:id="77"/>
      </w:r>
    </w:p>
    <w:p w:rsidR="007E1D2D" w:rsidRDefault="007E1D2D" w:rsidP="007E1D2D">
      <w:pPr>
        <w:pStyle w:val="NoSpacing"/>
        <w:rPr>
          <w:rFonts w:eastAsia="Times New Roman"/>
        </w:rPr>
      </w:pPr>
    </w:p>
    <w:p w:rsidR="003538B7" w:rsidRPr="007E1D2D" w:rsidRDefault="003538B7" w:rsidP="007E1D2D">
      <w:pPr>
        <w:pStyle w:val="NoSpacing"/>
        <w:rPr>
          <w:rFonts w:eastAsia="Times New Roman"/>
        </w:rPr>
      </w:pPr>
      <w:r w:rsidRPr="003538B7">
        <w:rPr>
          <w:rFonts w:eastAsia="Times New Roman" w:cs="Arial"/>
          <w:color w:val="000000"/>
        </w:rPr>
        <w:t>“People with disabilities face many barriers to good health. Studies show that individuals with disabilities are more likely than people without disabilities to report:</w:t>
      </w:r>
    </w:p>
    <w:p w:rsidR="003538B7" w:rsidRPr="007E1D2D" w:rsidRDefault="003538B7" w:rsidP="00F9158C">
      <w:pPr>
        <w:pStyle w:val="ListParagraph"/>
        <w:numPr>
          <w:ilvl w:val="0"/>
          <w:numId w:val="65"/>
        </w:numPr>
        <w:spacing w:after="0"/>
        <w:rPr>
          <w:rFonts w:eastAsia="Times New Roman" w:cs="Arial"/>
          <w:color w:val="000000"/>
        </w:rPr>
      </w:pPr>
      <w:r w:rsidRPr="007E1D2D">
        <w:rPr>
          <w:rFonts w:eastAsia="Times New Roman" w:cs="Arial"/>
          <w:color w:val="000000"/>
        </w:rPr>
        <w:t xml:space="preserve">Poorer overall health, </w:t>
      </w:r>
    </w:p>
    <w:p w:rsidR="003538B7" w:rsidRPr="007E1D2D" w:rsidRDefault="003538B7" w:rsidP="00F9158C">
      <w:pPr>
        <w:pStyle w:val="ListParagraph"/>
        <w:numPr>
          <w:ilvl w:val="0"/>
          <w:numId w:val="65"/>
        </w:numPr>
        <w:spacing w:after="30"/>
        <w:rPr>
          <w:rFonts w:eastAsia="Times New Roman" w:cs="Arial"/>
          <w:color w:val="000000"/>
        </w:rPr>
      </w:pPr>
      <w:r w:rsidRPr="007E1D2D">
        <w:rPr>
          <w:rFonts w:eastAsia="Times New Roman" w:cs="Arial"/>
          <w:color w:val="000000"/>
        </w:rPr>
        <w:t>Less access to adequate health care,</w:t>
      </w:r>
    </w:p>
    <w:p w:rsidR="003538B7" w:rsidRPr="007E1D2D" w:rsidRDefault="003538B7" w:rsidP="00F9158C">
      <w:pPr>
        <w:pStyle w:val="ListParagraph"/>
        <w:numPr>
          <w:ilvl w:val="0"/>
          <w:numId w:val="65"/>
        </w:numPr>
        <w:spacing w:before="30" w:after="30"/>
        <w:rPr>
          <w:rFonts w:eastAsia="Times New Roman" w:cs="Arial"/>
          <w:color w:val="000000"/>
        </w:rPr>
      </w:pPr>
      <w:r w:rsidRPr="007E1D2D">
        <w:rPr>
          <w:rFonts w:eastAsia="Times New Roman" w:cs="Arial"/>
          <w:color w:val="000000"/>
        </w:rPr>
        <w:t>No access to health insurance,</w:t>
      </w:r>
    </w:p>
    <w:p w:rsidR="003538B7" w:rsidRPr="007E1D2D" w:rsidRDefault="003538B7" w:rsidP="00F9158C">
      <w:pPr>
        <w:pStyle w:val="ListParagraph"/>
        <w:numPr>
          <w:ilvl w:val="0"/>
          <w:numId w:val="65"/>
        </w:numPr>
        <w:spacing w:before="30" w:after="30"/>
        <w:rPr>
          <w:rFonts w:eastAsia="Times New Roman" w:cs="Arial"/>
          <w:color w:val="000000"/>
        </w:rPr>
      </w:pPr>
      <w:r w:rsidRPr="007E1D2D">
        <w:rPr>
          <w:rFonts w:eastAsia="Times New Roman" w:cs="Arial"/>
          <w:color w:val="000000"/>
        </w:rPr>
        <w:t>Skipping medical care because of cost, and</w:t>
      </w:r>
    </w:p>
    <w:p w:rsidR="003538B7" w:rsidRPr="00A05423" w:rsidRDefault="003538B7" w:rsidP="00F9158C">
      <w:pPr>
        <w:pStyle w:val="ListParagraph"/>
        <w:numPr>
          <w:ilvl w:val="0"/>
          <w:numId w:val="65"/>
        </w:numPr>
        <w:spacing w:before="30" w:after="360"/>
        <w:rPr>
          <w:rFonts w:eastAsia="Times New Roman"/>
          <w:color w:val="000000"/>
          <w:sz w:val="23"/>
          <w:szCs w:val="23"/>
        </w:rPr>
      </w:pPr>
      <w:r w:rsidRPr="007E1D2D">
        <w:rPr>
          <w:rFonts w:eastAsia="Times New Roman" w:cs="Arial"/>
          <w:color w:val="000000"/>
        </w:rPr>
        <w:t>Engaging in risky health behaviors, including smoking and lack of physical inactivity.”</w:t>
      </w:r>
      <w:r w:rsidRPr="003538B7">
        <w:rPr>
          <w:rStyle w:val="FootnoteReference"/>
          <w:rFonts w:eastAsia="Times New Roman" w:cs="Arial"/>
          <w:color w:val="000000"/>
        </w:rPr>
        <w:footnoteReference w:id="78"/>
      </w:r>
      <w:r w:rsidR="00A05423">
        <w:rPr>
          <w:rFonts w:eastAsia="Times New Roman" w:cs="Arial"/>
          <w:color w:val="000000"/>
        </w:rPr>
        <w:t>\</w:t>
      </w:r>
    </w:p>
    <w:p w:rsidR="00A05423" w:rsidRPr="00A05423" w:rsidRDefault="00A05423" w:rsidP="00A05423">
      <w:pPr>
        <w:spacing w:before="30" w:after="0"/>
        <w:rPr>
          <w:rStyle w:val="Strong"/>
        </w:rPr>
      </w:pPr>
      <w:r w:rsidRPr="00A05423">
        <w:rPr>
          <w:rStyle w:val="Strong"/>
        </w:rPr>
        <w:t>Objective 3A</w:t>
      </w:r>
    </w:p>
    <w:p w:rsidR="005674D0" w:rsidRDefault="00A05423" w:rsidP="005674D0">
      <w:pPr>
        <w:spacing w:before="30" w:after="0"/>
        <w:rPr>
          <w:rStyle w:val="Strong"/>
        </w:rPr>
      </w:pPr>
      <w:r w:rsidRPr="00A05423">
        <w:rPr>
          <w:rStyle w:val="Strong"/>
        </w:rPr>
        <w:t xml:space="preserve">By June 30, 2015, enroll at least 2,000 Montana health care providers (public health professionals, physicians, nurses, mental health professionals, psychologists, etc.) who earn online and / or in-person continuing education credits that enhance the </w:t>
      </w:r>
      <w:r w:rsidRPr="00A05423">
        <w:rPr>
          <w:rStyle w:val="Strong"/>
        </w:rPr>
        <w:lastRenderedPageBreak/>
        <w:t>understanding of the competencies in disability awareness, cultural sensitivity, health care knowledge of conditions regarding people with disabilities, and the importance of accessible buildings an</w:t>
      </w:r>
      <w:r w:rsidR="005674D0">
        <w:rPr>
          <w:rStyle w:val="Strong"/>
        </w:rPr>
        <w:t xml:space="preserve">d accessible medical equipment. </w:t>
      </w:r>
    </w:p>
    <w:p w:rsidR="005674D0" w:rsidRDefault="00F94B07" w:rsidP="005674D0">
      <w:pPr>
        <w:spacing w:before="240" w:after="0"/>
        <w:rPr>
          <w:rStyle w:val="Strong"/>
        </w:rPr>
      </w:pPr>
      <w:r w:rsidRPr="007E1D2D">
        <w:rPr>
          <w:rStyle w:val="Strong"/>
        </w:rPr>
        <w:t xml:space="preserve">Activities </w:t>
      </w:r>
    </w:p>
    <w:p w:rsidR="00F94B07" w:rsidRPr="005674D0" w:rsidRDefault="00F94B07" w:rsidP="005674D0">
      <w:pPr>
        <w:spacing w:before="240" w:after="0"/>
        <w:rPr>
          <w:b/>
          <w:bCs/>
        </w:rPr>
      </w:pPr>
      <w:r>
        <w:rPr>
          <w:rFonts w:cstheme="minorHAnsi"/>
          <w:sz w:val="23"/>
          <w:szCs w:val="23"/>
          <w:u w:val="single"/>
        </w:rPr>
        <w:t>MTDH Staff</w:t>
      </w:r>
    </w:p>
    <w:p w:rsidR="00F94B07" w:rsidRPr="007E1D2D" w:rsidRDefault="00F94B07" w:rsidP="00F9158C">
      <w:pPr>
        <w:pStyle w:val="ListParagraph"/>
        <w:numPr>
          <w:ilvl w:val="0"/>
          <w:numId w:val="66"/>
        </w:numPr>
        <w:rPr>
          <w:sz w:val="8"/>
          <w:szCs w:val="8"/>
        </w:rPr>
      </w:pPr>
      <w:r w:rsidRPr="00F94B07">
        <w:t>Continue</w:t>
      </w:r>
      <w:r>
        <w:t xml:space="preserve"> to provide training and technical assistance to the 46 Montana Community Health Centers (CHCs) and Rural Health Clinics (RHCs).</w:t>
      </w:r>
      <w:r w:rsidRPr="007E1D2D">
        <w:rPr>
          <w:sz w:val="8"/>
          <w:szCs w:val="8"/>
        </w:rPr>
        <w:t xml:space="preserve"> </w:t>
      </w:r>
    </w:p>
    <w:p w:rsidR="00F94B07" w:rsidRPr="007E1D2D" w:rsidRDefault="00F94B07" w:rsidP="00F9158C">
      <w:pPr>
        <w:pStyle w:val="ListParagraph"/>
        <w:numPr>
          <w:ilvl w:val="0"/>
          <w:numId w:val="66"/>
        </w:numPr>
      </w:pPr>
      <w:r w:rsidRPr="007E1D2D">
        <w:t>Continue to Increase CHC and RHC staff awareness of available resources and materials.</w:t>
      </w:r>
    </w:p>
    <w:p w:rsidR="00F94B07" w:rsidRPr="007E1D2D" w:rsidRDefault="00F94B07" w:rsidP="00F9158C">
      <w:pPr>
        <w:pStyle w:val="ListParagraph"/>
        <w:numPr>
          <w:ilvl w:val="0"/>
          <w:numId w:val="66"/>
        </w:numPr>
        <w:rPr>
          <w:szCs w:val="22"/>
        </w:rPr>
      </w:pPr>
      <w:r w:rsidRPr="007E1D2D">
        <w:t xml:space="preserve">Identify specific curricula that have been vetted and approved for continuing education credits for health care providers. </w:t>
      </w:r>
    </w:p>
    <w:p w:rsidR="007E1D2D" w:rsidRPr="007E1D2D" w:rsidRDefault="00F94B07" w:rsidP="00F9158C">
      <w:pPr>
        <w:pStyle w:val="ListParagraph"/>
        <w:numPr>
          <w:ilvl w:val="0"/>
          <w:numId w:val="66"/>
        </w:numPr>
      </w:pPr>
      <w:r w:rsidRPr="007E1D2D">
        <w:t xml:space="preserve">Provide opportunities for health care providers to earn </w:t>
      </w:r>
      <w:r w:rsidR="00953F2B" w:rsidRPr="007E1D2D">
        <w:t>continuing education credits.</w:t>
      </w:r>
      <w:r w:rsidRPr="007E1D2D">
        <w:t xml:space="preserve"> </w:t>
      </w:r>
    </w:p>
    <w:p w:rsidR="00F94B07" w:rsidRPr="007E1D2D" w:rsidRDefault="00F94B07" w:rsidP="00F9158C">
      <w:pPr>
        <w:pStyle w:val="ListParagraph"/>
        <w:numPr>
          <w:ilvl w:val="0"/>
          <w:numId w:val="66"/>
        </w:numPr>
        <w:rPr>
          <w:szCs w:val="22"/>
        </w:rPr>
      </w:pPr>
      <w:r w:rsidRPr="007E1D2D">
        <w:t>In collaboration with local and national partners, identify resources and ma</w:t>
      </w:r>
      <w:r w:rsidR="00953F2B" w:rsidRPr="007E1D2D">
        <w:t xml:space="preserve">terials that assist </w:t>
      </w:r>
      <w:r w:rsidRPr="007E1D2D">
        <w:t xml:space="preserve">health </w:t>
      </w:r>
      <w:r w:rsidR="00953F2B" w:rsidRPr="007E1D2D">
        <w:t>care facilities and providers in addressing</w:t>
      </w:r>
      <w:r w:rsidRPr="007E1D2D">
        <w:t xml:space="preserve"> accessibility barriers to receiving health care services.</w:t>
      </w:r>
    </w:p>
    <w:p w:rsidR="00F94B07" w:rsidRPr="007E1D2D" w:rsidRDefault="00F94B07" w:rsidP="00F9158C">
      <w:pPr>
        <w:pStyle w:val="ListParagraph"/>
        <w:numPr>
          <w:ilvl w:val="0"/>
          <w:numId w:val="66"/>
        </w:numPr>
        <w:rPr>
          <w:szCs w:val="22"/>
        </w:rPr>
      </w:pPr>
      <w:r w:rsidRPr="007E1D2D">
        <w:t>Work with Vocational Rehabilitation to orchestrate consistent referrals and reimburse</w:t>
      </w:r>
      <w:r w:rsidR="00953F2B" w:rsidRPr="007E1D2D">
        <w:t>-</w:t>
      </w:r>
      <w:r w:rsidRPr="007E1D2D">
        <w:t>ment for both LWD and WWD.</w:t>
      </w:r>
    </w:p>
    <w:p w:rsidR="00F94B07" w:rsidRPr="007E1D2D" w:rsidRDefault="00F94B07" w:rsidP="00F9158C">
      <w:pPr>
        <w:pStyle w:val="ListParagraph"/>
        <w:numPr>
          <w:ilvl w:val="0"/>
          <w:numId w:val="66"/>
        </w:numPr>
        <w:rPr>
          <w:szCs w:val="22"/>
        </w:rPr>
      </w:pPr>
      <w:r w:rsidRPr="007E1D2D">
        <w:t>Solicit feedback and ideas from CILs regarding the best ways to make LWD and</w:t>
      </w:r>
      <w:r w:rsidR="00953F2B" w:rsidRPr="007E1D2D">
        <w:t xml:space="preserve"> WWD sustainable to steer activ</w:t>
      </w:r>
      <w:r w:rsidRPr="007E1D2D">
        <w:t>ities.</w:t>
      </w:r>
    </w:p>
    <w:p w:rsidR="000E2961" w:rsidRPr="007E1D2D" w:rsidRDefault="00F94B07" w:rsidP="00F9158C">
      <w:pPr>
        <w:pStyle w:val="ListParagraph"/>
        <w:numPr>
          <w:ilvl w:val="0"/>
          <w:numId w:val="66"/>
        </w:numPr>
        <w:rPr>
          <w:szCs w:val="22"/>
        </w:rPr>
      </w:pPr>
      <w:r w:rsidRPr="007E1D2D">
        <w:t>Increase outreach to and establish partnerships with American Indian reservations in Montana.</w:t>
      </w:r>
    </w:p>
    <w:p w:rsidR="000E2961" w:rsidRDefault="000E2961" w:rsidP="00F9158C">
      <w:pPr>
        <w:pStyle w:val="ListParagraph"/>
        <w:numPr>
          <w:ilvl w:val="0"/>
          <w:numId w:val="66"/>
        </w:numPr>
      </w:pPr>
      <w:r w:rsidRPr="007E1D2D">
        <w:t>Increase awareness of accessible gymnasiums throughout the state.</w:t>
      </w:r>
    </w:p>
    <w:p w:rsidR="00A05423" w:rsidRPr="00A05423" w:rsidRDefault="00A05423" w:rsidP="00A05423">
      <w:pPr>
        <w:rPr>
          <w:rStyle w:val="Strong"/>
        </w:rPr>
      </w:pPr>
      <w:r w:rsidRPr="00A05423">
        <w:rPr>
          <w:rStyle w:val="Strong"/>
        </w:rPr>
        <w:t>Objective 3B</w:t>
      </w:r>
    </w:p>
    <w:p w:rsidR="00EF7017" w:rsidRPr="00A05423" w:rsidRDefault="00A05423" w:rsidP="00A05423">
      <w:pPr>
        <w:rPr>
          <w:b/>
          <w:bCs/>
        </w:rPr>
      </w:pPr>
      <w:r w:rsidRPr="00A05423">
        <w:rPr>
          <w:rStyle w:val="Strong"/>
        </w:rPr>
        <w:t>By June 30, 2015, the MTDH Accessibility Ambassadors will assist in developing and promoting at least four inclusive strategies to meet or exceed the ADA accessibility requirements to Montana community health centers and rural health clinics.</w:t>
      </w:r>
    </w:p>
    <w:p w:rsidR="00EF7017" w:rsidRPr="00A05423" w:rsidRDefault="00EF7017" w:rsidP="007E1D2D">
      <w:pPr>
        <w:rPr>
          <w:rStyle w:val="Strong"/>
        </w:rPr>
      </w:pPr>
      <w:r w:rsidRPr="00A05423">
        <w:rPr>
          <w:rStyle w:val="Strong"/>
        </w:rPr>
        <w:t>Activities</w:t>
      </w:r>
    </w:p>
    <w:p w:rsidR="00EF7017" w:rsidRPr="00A96CD9" w:rsidRDefault="00EF7017" w:rsidP="00EF7017">
      <w:pPr>
        <w:pStyle w:val="FootnoteText"/>
        <w:spacing w:after="60" w:line="276" w:lineRule="auto"/>
        <w:rPr>
          <w:rFonts w:cs="Arial"/>
          <w:sz w:val="22"/>
          <w:szCs w:val="22"/>
          <w:u w:val="single"/>
        </w:rPr>
      </w:pPr>
      <w:r w:rsidRPr="00A96CD9">
        <w:rPr>
          <w:rFonts w:cs="Arial"/>
          <w:sz w:val="22"/>
          <w:szCs w:val="22"/>
          <w:u w:val="single"/>
        </w:rPr>
        <w:t>MTDH Staff:</w:t>
      </w:r>
    </w:p>
    <w:p w:rsidR="00EF7017" w:rsidRPr="007E1D2D" w:rsidRDefault="00EF7017" w:rsidP="00F9158C">
      <w:pPr>
        <w:pStyle w:val="ListParagraph"/>
        <w:numPr>
          <w:ilvl w:val="0"/>
          <w:numId w:val="67"/>
        </w:numPr>
        <w:rPr>
          <w:u w:val="single"/>
        </w:rPr>
      </w:pPr>
      <w:r w:rsidRPr="00A96CD9">
        <w:t xml:space="preserve">Host regular meetings of the Accessibility Ambassadors to gather their input on a number of accessibility issues. </w:t>
      </w:r>
    </w:p>
    <w:p w:rsidR="00EF7017" w:rsidRPr="007E1D2D" w:rsidRDefault="00EF7017" w:rsidP="00F9158C">
      <w:pPr>
        <w:pStyle w:val="ListParagraph"/>
        <w:numPr>
          <w:ilvl w:val="0"/>
          <w:numId w:val="67"/>
        </w:numPr>
        <w:rPr>
          <w:u w:val="single"/>
        </w:rPr>
      </w:pPr>
      <w:r w:rsidRPr="00A96CD9">
        <w:t xml:space="preserve">Evaluate current infrastructure capacity to identify and promote accessible health resources within the network. </w:t>
      </w:r>
    </w:p>
    <w:p w:rsidR="00EF7017" w:rsidRPr="007E1D2D" w:rsidRDefault="00EF7017" w:rsidP="00F9158C">
      <w:pPr>
        <w:pStyle w:val="ListParagraph"/>
        <w:numPr>
          <w:ilvl w:val="0"/>
          <w:numId w:val="67"/>
        </w:numPr>
        <w:rPr>
          <w:u w:val="single"/>
        </w:rPr>
      </w:pPr>
      <w:r w:rsidRPr="00A96CD9">
        <w:t>Work with MDPHHS to identify infrastructure and partners to improve accessibility.</w:t>
      </w:r>
    </w:p>
    <w:p w:rsidR="00EF7017" w:rsidRPr="007E1D2D" w:rsidRDefault="00EF7017" w:rsidP="00F9158C">
      <w:pPr>
        <w:pStyle w:val="ListParagraph"/>
        <w:numPr>
          <w:ilvl w:val="0"/>
          <w:numId w:val="67"/>
        </w:numPr>
      </w:pPr>
      <w:r w:rsidRPr="007E1D2D">
        <w:t>Promote funding opportunities for capital improvements and policy work.</w:t>
      </w:r>
    </w:p>
    <w:p w:rsidR="00EF7017" w:rsidRPr="007E1D2D" w:rsidRDefault="00EF7017" w:rsidP="00F9158C">
      <w:pPr>
        <w:pStyle w:val="ListParagraph"/>
        <w:numPr>
          <w:ilvl w:val="0"/>
          <w:numId w:val="67"/>
        </w:numPr>
        <w:rPr>
          <w:u w:val="double"/>
        </w:rPr>
      </w:pPr>
      <w:r w:rsidRPr="007E1D2D">
        <w:t>Investigate other states’ policies about the use of state of the art technology (e.g., hearing aids).</w:t>
      </w:r>
    </w:p>
    <w:p w:rsidR="00EF7017" w:rsidRPr="007E1D2D" w:rsidRDefault="00EF7017" w:rsidP="00F9158C">
      <w:pPr>
        <w:pStyle w:val="ListParagraph"/>
        <w:numPr>
          <w:ilvl w:val="0"/>
          <w:numId w:val="67"/>
        </w:numPr>
        <w:rPr>
          <w:u w:val="double"/>
        </w:rPr>
      </w:pPr>
      <w:r w:rsidRPr="007E1D2D">
        <w:t>Continue to work with the Montana Builders Association.</w:t>
      </w:r>
    </w:p>
    <w:p w:rsidR="00EF7017" w:rsidRPr="007E1D2D" w:rsidRDefault="00EF7017" w:rsidP="00F9158C">
      <w:pPr>
        <w:pStyle w:val="ListParagraph"/>
        <w:numPr>
          <w:ilvl w:val="0"/>
          <w:numId w:val="67"/>
        </w:numPr>
        <w:rPr>
          <w:u w:val="double"/>
        </w:rPr>
      </w:pPr>
      <w:r w:rsidRPr="007E1D2D">
        <w:t>Call attention to unsafe or unacceptable practices.</w:t>
      </w:r>
    </w:p>
    <w:p w:rsidR="00EF7017" w:rsidRPr="00A96CD9" w:rsidRDefault="00EF7017" w:rsidP="00EF7017">
      <w:pPr>
        <w:pStyle w:val="FootnoteText"/>
        <w:spacing w:after="60" w:line="276" w:lineRule="auto"/>
        <w:ind w:left="720" w:hanging="720"/>
        <w:rPr>
          <w:rFonts w:cs="Arial"/>
          <w:sz w:val="22"/>
          <w:szCs w:val="22"/>
          <w:u w:val="single"/>
        </w:rPr>
      </w:pPr>
      <w:r w:rsidRPr="00A96CD9">
        <w:rPr>
          <w:rFonts w:cs="Arial"/>
          <w:sz w:val="22"/>
          <w:szCs w:val="22"/>
          <w:u w:val="single"/>
        </w:rPr>
        <w:t>Accessibility Ambassadors</w:t>
      </w:r>
    </w:p>
    <w:p w:rsidR="00EF7017" w:rsidRPr="007E1D2D" w:rsidRDefault="00EF7017" w:rsidP="00F9158C">
      <w:pPr>
        <w:pStyle w:val="ListParagraph"/>
        <w:numPr>
          <w:ilvl w:val="0"/>
          <w:numId w:val="67"/>
        </w:numPr>
        <w:rPr>
          <w:sz w:val="6"/>
          <w:szCs w:val="6"/>
        </w:rPr>
      </w:pPr>
      <w:r w:rsidRPr="00A96CD9">
        <w:lastRenderedPageBreak/>
        <w:t xml:space="preserve">Provide input regarding: </w:t>
      </w:r>
    </w:p>
    <w:p w:rsidR="00EF7017" w:rsidRPr="007E1D2D" w:rsidRDefault="00EF7017" w:rsidP="00F9158C">
      <w:pPr>
        <w:pStyle w:val="ListParagraph"/>
        <w:numPr>
          <w:ilvl w:val="1"/>
          <w:numId w:val="67"/>
        </w:numPr>
        <w:rPr>
          <w:sz w:val="6"/>
          <w:szCs w:val="6"/>
        </w:rPr>
      </w:pPr>
      <w:r w:rsidRPr="00991EF0">
        <w:t>Accessibility issues and ways to address those issues</w:t>
      </w:r>
      <w:r w:rsidRPr="007E1D2D">
        <w:rPr>
          <w:sz w:val="6"/>
          <w:szCs w:val="6"/>
        </w:rPr>
        <w:t xml:space="preserve">; </w:t>
      </w:r>
    </w:p>
    <w:p w:rsidR="00EF7017" w:rsidRPr="007E1D2D" w:rsidRDefault="00EF7017" w:rsidP="00F9158C">
      <w:pPr>
        <w:pStyle w:val="ListParagraph"/>
        <w:numPr>
          <w:ilvl w:val="1"/>
          <w:numId w:val="67"/>
        </w:numPr>
        <w:rPr>
          <w:b/>
          <w:i/>
        </w:rPr>
      </w:pPr>
      <w:r w:rsidRPr="00991EF0">
        <w:t>Customer-based services for persons with disabilities; and</w:t>
      </w:r>
    </w:p>
    <w:p w:rsidR="00A05423" w:rsidRPr="00A05423" w:rsidRDefault="00EF7017" w:rsidP="00F9158C">
      <w:pPr>
        <w:pStyle w:val="ListParagraph"/>
        <w:numPr>
          <w:ilvl w:val="1"/>
          <w:numId w:val="67"/>
        </w:numPr>
        <w:rPr>
          <w:b/>
          <w:i/>
        </w:rPr>
      </w:pPr>
      <w:r w:rsidRPr="00A96CD9">
        <w:t>Strategies to eliminate barriers.</w:t>
      </w:r>
    </w:p>
    <w:p w:rsidR="00A05423" w:rsidRPr="00A05423" w:rsidRDefault="00A05423" w:rsidP="00A05423">
      <w:pPr>
        <w:rPr>
          <w:rStyle w:val="Strong"/>
        </w:rPr>
      </w:pPr>
      <w:r w:rsidRPr="00A05423">
        <w:rPr>
          <w:rStyle w:val="Strong"/>
        </w:rPr>
        <w:t>Objective 3C</w:t>
      </w:r>
    </w:p>
    <w:p w:rsidR="000B2733" w:rsidRPr="00A05423" w:rsidRDefault="00A05423" w:rsidP="00A05423">
      <w:pPr>
        <w:rPr>
          <w:rStyle w:val="Strong"/>
        </w:rPr>
      </w:pPr>
      <w:r w:rsidRPr="00A05423">
        <w:rPr>
          <w:rStyle w:val="Strong"/>
        </w:rPr>
        <w:t>By June 30, 2015, educate  150 college and graduate students in a variety of disciplines (such as public health, architecture, biology, and psychology) about the MTDH Program in general and accessibility issues for persons with disabilities in particular.</w:t>
      </w:r>
      <w:r w:rsidR="00EF7017" w:rsidRPr="00A05423">
        <w:rPr>
          <w:rStyle w:val="Strong"/>
        </w:rPr>
        <w:t xml:space="preserve"> </w:t>
      </w:r>
    </w:p>
    <w:p w:rsidR="000B2733" w:rsidRPr="007E1D2D" w:rsidRDefault="000B2733" w:rsidP="007E1D2D">
      <w:pPr>
        <w:pStyle w:val="NoSpacing"/>
        <w:rPr>
          <w:rStyle w:val="Strong"/>
        </w:rPr>
      </w:pPr>
      <w:r w:rsidRPr="007E1D2D">
        <w:rPr>
          <w:rStyle w:val="Strong"/>
        </w:rPr>
        <w:t>Activities</w:t>
      </w:r>
    </w:p>
    <w:p w:rsidR="009D1205" w:rsidRPr="007E1D2D" w:rsidRDefault="009D1205" w:rsidP="00F9158C">
      <w:pPr>
        <w:pStyle w:val="ListParagraph"/>
        <w:numPr>
          <w:ilvl w:val="0"/>
          <w:numId w:val="68"/>
        </w:numPr>
        <w:spacing w:after="120"/>
        <w:rPr>
          <w:rFonts w:cs="Arial"/>
        </w:rPr>
      </w:pPr>
      <w:r w:rsidRPr="007E1D2D">
        <w:rPr>
          <w:rFonts w:cs="Arial"/>
        </w:rPr>
        <w:t>Provide opportunities for MPH Program students to collect, interpret and disseminate data.</w:t>
      </w:r>
    </w:p>
    <w:p w:rsidR="00587266" w:rsidRDefault="009D1205" w:rsidP="00F9158C">
      <w:pPr>
        <w:pStyle w:val="ListParagraph"/>
        <w:numPr>
          <w:ilvl w:val="0"/>
          <w:numId w:val="68"/>
        </w:numPr>
        <w:spacing w:after="120"/>
        <w:rPr>
          <w:rFonts w:cs="Arial"/>
        </w:rPr>
      </w:pPr>
      <w:r w:rsidRPr="007E1D2D">
        <w:rPr>
          <w:rFonts w:cs="Arial"/>
        </w:rPr>
        <w:t>Continue to support MSU nursing students.</w:t>
      </w:r>
    </w:p>
    <w:p w:rsidR="00A05423" w:rsidRPr="00A05423" w:rsidRDefault="00A05423" w:rsidP="00A05423">
      <w:pPr>
        <w:spacing w:after="120"/>
        <w:rPr>
          <w:rStyle w:val="Strong"/>
        </w:rPr>
      </w:pPr>
      <w:r w:rsidRPr="00A05423">
        <w:rPr>
          <w:rStyle w:val="Strong"/>
        </w:rPr>
        <w:t>Objective 3D</w:t>
      </w:r>
    </w:p>
    <w:p w:rsidR="00587266" w:rsidRPr="00A05423" w:rsidRDefault="00A05423" w:rsidP="00A05423">
      <w:pPr>
        <w:spacing w:after="120"/>
        <w:rPr>
          <w:rStyle w:val="Strong"/>
        </w:rPr>
      </w:pPr>
      <w:r w:rsidRPr="00A05423">
        <w:rPr>
          <w:rStyle w:val="Strong"/>
        </w:rPr>
        <w:t>By June 30, 2015, develop a data-based decision-making training for at least five  state agencies and private non-profits and provide at least 15 trainings in various locations in the state.</w:t>
      </w:r>
    </w:p>
    <w:p w:rsidR="00587266" w:rsidRPr="007E1D2D" w:rsidRDefault="00587266" w:rsidP="007E1D2D">
      <w:pPr>
        <w:rPr>
          <w:rStyle w:val="Strong"/>
        </w:rPr>
      </w:pPr>
      <w:r w:rsidRPr="007E1D2D">
        <w:rPr>
          <w:rStyle w:val="Strong"/>
        </w:rPr>
        <w:t>Activities</w:t>
      </w:r>
    </w:p>
    <w:p w:rsidR="00587266" w:rsidRPr="001A5F63" w:rsidRDefault="00587266" w:rsidP="001A5F63">
      <w:pPr>
        <w:pStyle w:val="Default"/>
        <w:shd w:val="clear" w:color="auto" w:fill="FFFFFF" w:themeFill="background1"/>
        <w:spacing w:after="120" w:line="276" w:lineRule="auto"/>
        <w:ind w:left="360" w:hanging="360"/>
        <w:rPr>
          <w:rFonts w:ascii="Arial" w:hAnsi="Arial" w:cs="Arial"/>
          <w:color w:val="auto"/>
          <w:sz w:val="22"/>
          <w:szCs w:val="22"/>
        </w:rPr>
      </w:pPr>
      <w:r w:rsidRPr="001A5F63">
        <w:rPr>
          <w:rFonts w:ascii="Arial" w:hAnsi="Arial" w:cs="Arial"/>
          <w:color w:val="auto"/>
          <w:sz w:val="22"/>
          <w:szCs w:val="22"/>
          <w:u w:val="single"/>
        </w:rPr>
        <w:t>MTDH Staff</w:t>
      </w:r>
      <w:r w:rsidRPr="001A5F63">
        <w:rPr>
          <w:rFonts w:ascii="Arial" w:hAnsi="Arial" w:cs="Arial"/>
          <w:color w:val="auto"/>
          <w:sz w:val="22"/>
          <w:szCs w:val="22"/>
        </w:rPr>
        <w:t xml:space="preserve"> </w:t>
      </w:r>
    </w:p>
    <w:p w:rsidR="00587266" w:rsidRPr="001A5F63" w:rsidRDefault="00587266" w:rsidP="00F9158C">
      <w:pPr>
        <w:pStyle w:val="ListParagraph"/>
        <w:numPr>
          <w:ilvl w:val="0"/>
          <w:numId w:val="69"/>
        </w:numPr>
      </w:pPr>
      <w:r w:rsidRPr="001A5F63">
        <w:t>Educate state agency and private nonprofit personnel about data system elements that identify people with disabilities.</w:t>
      </w:r>
    </w:p>
    <w:p w:rsidR="00587266" w:rsidRPr="001A5F63" w:rsidRDefault="00587266" w:rsidP="00F9158C">
      <w:pPr>
        <w:pStyle w:val="ListParagraph"/>
        <w:numPr>
          <w:ilvl w:val="0"/>
          <w:numId w:val="69"/>
        </w:numPr>
      </w:pPr>
      <w:r w:rsidRPr="001A5F63">
        <w:t xml:space="preserve">Explore the possibilities of: </w:t>
      </w:r>
    </w:p>
    <w:p w:rsidR="00587266" w:rsidRPr="001A5F63" w:rsidRDefault="00587266" w:rsidP="00F9158C">
      <w:pPr>
        <w:pStyle w:val="ListParagraph"/>
        <w:numPr>
          <w:ilvl w:val="1"/>
          <w:numId w:val="69"/>
        </w:numPr>
      </w:pPr>
      <w:r w:rsidRPr="001A5F63">
        <w:t xml:space="preserve">Recruiting UM Psychology Department students to analyze available data from state governmental agencies and report their findings; and </w:t>
      </w:r>
    </w:p>
    <w:p w:rsidR="00587266" w:rsidRPr="001A5F63" w:rsidRDefault="00587266" w:rsidP="00F9158C">
      <w:pPr>
        <w:pStyle w:val="ListParagraph"/>
        <w:numPr>
          <w:ilvl w:val="1"/>
          <w:numId w:val="69"/>
        </w:numPr>
      </w:pPr>
      <w:r w:rsidRPr="001A5F63">
        <w:t>Providing small stipends for this work.</w:t>
      </w:r>
    </w:p>
    <w:p w:rsidR="00587266" w:rsidRPr="001A5F63" w:rsidRDefault="00587266" w:rsidP="00F9158C">
      <w:pPr>
        <w:pStyle w:val="ListParagraph"/>
        <w:numPr>
          <w:ilvl w:val="0"/>
          <w:numId w:val="69"/>
        </w:numPr>
      </w:pPr>
      <w:r w:rsidRPr="001A5F63">
        <w:t xml:space="preserve">Identify ways to: </w:t>
      </w:r>
    </w:p>
    <w:p w:rsidR="00587266" w:rsidRPr="001A5F63" w:rsidRDefault="00587266" w:rsidP="00F9158C">
      <w:pPr>
        <w:pStyle w:val="ListParagraph"/>
        <w:numPr>
          <w:ilvl w:val="1"/>
          <w:numId w:val="69"/>
        </w:numPr>
      </w:pPr>
      <w:r w:rsidRPr="001A5F63">
        <w:t xml:space="preserve">Recruit and train health care providers for the state; and </w:t>
      </w:r>
    </w:p>
    <w:p w:rsidR="001A5F63" w:rsidRPr="007E1D2D" w:rsidRDefault="00587266" w:rsidP="00F9158C">
      <w:pPr>
        <w:pStyle w:val="ListParagraph"/>
        <w:numPr>
          <w:ilvl w:val="1"/>
          <w:numId w:val="69"/>
        </w:numPr>
      </w:pPr>
      <w:r w:rsidRPr="001A5F63">
        <w:t>Promote model policy practices that assure disability cultural competency among providers.</w:t>
      </w:r>
    </w:p>
    <w:p w:rsidR="00587266" w:rsidRPr="001A5F63" w:rsidRDefault="00587266" w:rsidP="00F9158C">
      <w:pPr>
        <w:pStyle w:val="ListParagraph"/>
        <w:numPr>
          <w:ilvl w:val="0"/>
          <w:numId w:val="69"/>
        </w:numPr>
      </w:pPr>
      <w:r w:rsidRPr="001A5F63">
        <w:t xml:space="preserve">Support state agency and private nonprofit agencies in: </w:t>
      </w:r>
    </w:p>
    <w:p w:rsidR="00587266" w:rsidRPr="001A5F63" w:rsidRDefault="00587266" w:rsidP="00F9158C">
      <w:pPr>
        <w:pStyle w:val="ListParagraph"/>
        <w:numPr>
          <w:ilvl w:val="1"/>
          <w:numId w:val="69"/>
        </w:numPr>
      </w:pPr>
      <w:r w:rsidRPr="001A5F63">
        <w:t>Providing a healthy work place;</w:t>
      </w:r>
    </w:p>
    <w:p w:rsidR="00587266" w:rsidRPr="001A5F63" w:rsidRDefault="00587266" w:rsidP="00F9158C">
      <w:pPr>
        <w:pStyle w:val="ListParagraph"/>
        <w:numPr>
          <w:ilvl w:val="1"/>
          <w:numId w:val="69"/>
        </w:numPr>
      </w:pPr>
      <w:r w:rsidRPr="001A5F63">
        <w:t>Promoting the health of the people they serve, and</w:t>
      </w:r>
    </w:p>
    <w:p w:rsidR="001A6BC4" w:rsidRDefault="00587266" w:rsidP="00F9158C">
      <w:pPr>
        <w:pStyle w:val="ListParagraph"/>
        <w:numPr>
          <w:ilvl w:val="1"/>
          <w:numId w:val="69"/>
        </w:numPr>
      </w:pPr>
      <w:r w:rsidRPr="001A5F63">
        <w:t>Addressing health equity.</w:t>
      </w:r>
    </w:p>
    <w:p w:rsidR="00A05423" w:rsidRPr="00A05423" w:rsidRDefault="00A05423" w:rsidP="00A05423">
      <w:pPr>
        <w:rPr>
          <w:rStyle w:val="Strong"/>
        </w:rPr>
      </w:pPr>
      <w:r w:rsidRPr="00A05423">
        <w:rPr>
          <w:rStyle w:val="Strong"/>
        </w:rPr>
        <w:t>Objective 3E</w:t>
      </w:r>
    </w:p>
    <w:p w:rsidR="00A05423" w:rsidRPr="00A05423" w:rsidRDefault="00A05423" w:rsidP="00A05423">
      <w:pPr>
        <w:rPr>
          <w:rStyle w:val="Strong"/>
        </w:rPr>
      </w:pPr>
      <w:r w:rsidRPr="00A05423">
        <w:rPr>
          <w:rStyle w:val="Strong"/>
        </w:rPr>
        <w:t>By June 30, 2015, develop and facilitate 15 health promotion programs for people with disabilities as well as their families and/or caregivers , using the Guidelines for Community-based Health Promotion Programs.</w:t>
      </w:r>
    </w:p>
    <w:p w:rsidR="005674D0" w:rsidRDefault="005674D0" w:rsidP="004E0815">
      <w:pPr>
        <w:rPr>
          <w:rStyle w:val="Strong"/>
        </w:rPr>
        <w:sectPr w:rsidR="005674D0" w:rsidSect="00A07593">
          <w:pgSz w:w="12240" w:h="15840"/>
          <w:pgMar w:top="1440" w:right="1440" w:bottom="1440" w:left="1440" w:header="720" w:footer="720" w:gutter="0"/>
          <w:cols w:space="720"/>
          <w:docGrid w:linePitch="360"/>
        </w:sectPr>
      </w:pPr>
    </w:p>
    <w:p w:rsidR="00B46240" w:rsidRPr="004E0815" w:rsidRDefault="00B46240" w:rsidP="004E0815">
      <w:pPr>
        <w:rPr>
          <w:rStyle w:val="Strong"/>
        </w:rPr>
      </w:pPr>
      <w:r w:rsidRPr="004E0815">
        <w:rPr>
          <w:rStyle w:val="Strong"/>
        </w:rPr>
        <w:lastRenderedPageBreak/>
        <w:t>Activities</w:t>
      </w:r>
    </w:p>
    <w:p w:rsidR="00B46240" w:rsidRPr="00B46240" w:rsidRDefault="00B46240" w:rsidP="00B46240">
      <w:pPr>
        <w:pStyle w:val="Default"/>
        <w:spacing w:after="120" w:line="276" w:lineRule="auto"/>
        <w:ind w:left="360" w:hanging="360"/>
        <w:rPr>
          <w:rFonts w:ascii="Arial" w:hAnsi="Arial" w:cs="Arial"/>
          <w:color w:val="auto"/>
          <w:sz w:val="22"/>
          <w:szCs w:val="22"/>
        </w:rPr>
      </w:pPr>
      <w:r w:rsidRPr="00B46240">
        <w:rPr>
          <w:rFonts w:ascii="Arial" w:hAnsi="Arial" w:cs="Arial"/>
          <w:color w:val="auto"/>
          <w:sz w:val="22"/>
          <w:szCs w:val="22"/>
          <w:u w:val="single"/>
        </w:rPr>
        <w:t>MTDH Staff</w:t>
      </w:r>
      <w:r w:rsidRPr="00B46240">
        <w:rPr>
          <w:rFonts w:ascii="Arial" w:hAnsi="Arial" w:cs="Arial"/>
          <w:color w:val="auto"/>
          <w:sz w:val="22"/>
          <w:szCs w:val="22"/>
        </w:rPr>
        <w:t xml:space="preserve"> </w:t>
      </w:r>
    </w:p>
    <w:p w:rsidR="00B46240" w:rsidRPr="00B46240" w:rsidRDefault="00B46240" w:rsidP="00F9158C">
      <w:pPr>
        <w:pStyle w:val="ListParagraph"/>
        <w:numPr>
          <w:ilvl w:val="0"/>
          <w:numId w:val="70"/>
        </w:numPr>
      </w:pPr>
      <w:r w:rsidRPr="00B46240">
        <w:t xml:space="preserve">Develop an underlying conceptual or theoretical framework for community-based health promotion programs for people with disabilities. </w:t>
      </w:r>
    </w:p>
    <w:p w:rsidR="00B46240" w:rsidRPr="00B46240" w:rsidRDefault="00B46240" w:rsidP="00F9158C">
      <w:pPr>
        <w:pStyle w:val="ListParagraph"/>
        <w:numPr>
          <w:ilvl w:val="0"/>
          <w:numId w:val="70"/>
        </w:numPr>
      </w:pPr>
      <w:r w:rsidRPr="00B46240">
        <w:t>Implement process evaluation.</w:t>
      </w:r>
    </w:p>
    <w:p w:rsidR="00B46240" w:rsidRPr="004E0815" w:rsidRDefault="00B46240" w:rsidP="00F9158C">
      <w:pPr>
        <w:pStyle w:val="ListParagraph"/>
        <w:numPr>
          <w:ilvl w:val="0"/>
          <w:numId w:val="70"/>
        </w:numPr>
        <w:rPr>
          <w:color w:val="2A2A2A"/>
        </w:rPr>
      </w:pPr>
      <w:r w:rsidRPr="004E0815">
        <w:rPr>
          <w:bCs/>
          <w:color w:val="2A2A2A"/>
        </w:rPr>
        <w:t>Collect outcomes data using disability-appropriate measures</w:t>
      </w:r>
      <w:r w:rsidRPr="004E0815">
        <w:rPr>
          <w:color w:val="2A2A2A"/>
        </w:rPr>
        <w:t>.</w:t>
      </w:r>
    </w:p>
    <w:p w:rsidR="00B46240" w:rsidRPr="00B46240" w:rsidRDefault="00B46240" w:rsidP="00F9158C">
      <w:pPr>
        <w:pStyle w:val="ListParagraph"/>
        <w:numPr>
          <w:ilvl w:val="0"/>
          <w:numId w:val="70"/>
        </w:numPr>
      </w:pPr>
      <w:r w:rsidRPr="004E0815">
        <w:rPr>
          <w:bCs/>
          <w:color w:val="2A2A2A"/>
        </w:rPr>
        <w:t>Involve people with disabilities and their families or caregivers in the development and implementation of health promotion programs for people with disabilities.</w:t>
      </w:r>
    </w:p>
    <w:p w:rsidR="00B46240" w:rsidRPr="00B46240" w:rsidRDefault="00B46240" w:rsidP="00F9158C">
      <w:pPr>
        <w:pStyle w:val="ListParagraph"/>
        <w:numPr>
          <w:ilvl w:val="0"/>
          <w:numId w:val="70"/>
        </w:numPr>
      </w:pPr>
      <w:r w:rsidRPr="004E0815">
        <w:rPr>
          <w:bCs/>
          <w:color w:val="2A2A2A"/>
        </w:rPr>
        <w:t>Consider the beliefs, practices, and values of the target groups, including support for personal choice.</w:t>
      </w:r>
    </w:p>
    <w:p w:rsidR="00B46240" w:rsidRPr="00B46240" w:rsidRDefault="00B46240" w:rsidP="00F9158C">
      <w:pPr>
        <w:pStyle w:val="ListParagraph"/>
        <w:numPr>
          <w:ilvl w:val="0"/>
          <w:numId w:val="70"/>
        </w:numPr>
      </w:pPr>
      <w:r w:rsidRPr="00B46240">
        <w:t xml:space="preserve">Assure that </w:t>
      </w:r>
      <w:r w:rsidRPr="004E0815">
        <w:rPr>
          <w:bCs/>
          <w:color w:val="2A2A2A"/>
        </w:rPr>
        <w:t>programs are socially, behaviorally, programmatically, and environmentally accessible.</w:t>
      </w:r>
    </w:p>
    <w:p w:rsidR="00984A45" w:rsidRDefault="00B46240" w:rsidP="00F9158C">
      <w:pPr>
        <w:pStyle w:val="ListParagraph"/>
        <w:numPr>
          <w:ilvl w:val="0"/>
          <w:numId w:val="70"/>
        </w:numPr>
      </w:pPr>
      <w:r w:rsidRPr="00B46240">
        <w:t>Assure that health promotion programs are affordable to PWD and their families/</w:t>
      </w:r>
      <w:r w:rsidR="00D9673C">
        <w:t xml:space="preserve"> </w:t>
      </w:r>
      <w:r w:rsidRPr="00B46240">
        <w:t>caregivers.</w:t>
      </w:r>
    </w:p>
    <w:p w:rsidR="00A05423" w:rsidRPr="00A05423" w:rsidRDefault="00A05423" w:rsidP="00A05423">
      <w:pPr>
        <w:rPr>
          <w:rStyle w:val="Strong"/>
        </w:rPr>
      </w:pPr>
      <w:r w:rsidRPr="00A05423">
        <w:rPr>
          <w:rStyle w:val="Strong"/>
        </w:rPr>
        <w:t>Objective 3F</w:t>
      </w:r>
    </w:p>
    <w:p w:rsidR="00A05423" w:rsidRPr="00A05423" w:rsidRDefault="00A05423" w:rsidP="00A05423">
      <w:pPr>
        <w:rPr>
          <w:rStyle w:val="Strong"/>
        </w:rPr>
      </w:pPr>
      <w:r w:rsidRPr="00A05423">
        <w:rPr>
          <w:rStyle w:val="Strong"/>
        </w:rPr>
        <w:t>By June 30, 2015, adapt the American Psychological Association Guidelines for Assessment of and Intervention with Persons with Disabilities for public health professionals.</w:t>
      </w:r>
    </w:p>
    <w:p w:rsidR="00984A45" w:rsidRPr="004E0815" w:rsidRDefault="00984A45" w:rsidP="00984A45">
      <w:pPr>
        <w:rPr>
          <w:rStyle w:val="Strong"/>
        </w:rPr>
      </w:pPr>
      <w:r w:rsidRPr="004E0815">
        <w:rPr>
          <w:rStyle w:val="Strong"/>
        </w:rPr>
        <w:t>Activities</w:t>
      </w:r>
    </w:p>
    <w:p w:rsidR="00984A45" w:rsidRPr="007E7CAF" w:rsidRDefault="00984A45" w:rsidP="00984A45">
      <w:pPr>
        <w:pStyle w:val="Default"/>
        <w:spacing w:after="120" w:line="276" w:lineRule="auto"/>
        <w:ind w:left="360" w:hanging="360"/>
        <w:rPr>
          <w:rFonts w:ascii="Arial" w:hAnsi="Arial" w:cs="Arial"/>
          <w:color w:val="auto"/>
          <w:sz w:val="22"/>
          <w:szCs w:val="22"/>
        </w:rPr>
      </w:pPr>
      <w:r w:rsidRPr="007E7CAF">
        <w:rPr>
          <w:rFonts w:ascii="Arial" w:hAnsi="Arial" w:cs="Arial"/>
          <w:color w:val="auto"/>
          <w:sz w:val="22"/>
          <w:szCs w:val="22"/>
          <w:u w:val="single"/>
        </w:rPr>
        <w:t>MTDH Staff</w:t>
      </w:r>
      <w:r w:rsidRPr="007E7CAF">
        <w:rPr>
          <w:rFonts w:ascii="Arial" w:hAnsi="Arial" w:cs="Arial"/>
          <w:color w:val="auto"/>
          <w:sz w:val="22"/>
          <w:szCs w:val="22"/>
        </w:rPr>
        <w:t xml:space="preserve"> </w:t>
      </w:r>
    </w:p>
    <w:p w:rsidR="00984A45" w:rsidRPr="007E7CAF" w:rsidRDefault="00984A45" w:rsidP="00F9158C">
      <w:pPr>
        <w:pStyle w:val="Default"/>
        <w:numPr>
          <w:ilvl w:val="0"/>
          <w:numId w:val="71"/>
        </w:numPr>
        <w:spacing w:after="60"/>
        <w:rPr>
          <w:rFonts w:ascii="Arial" w:hAnsi="Arial" w:cs="Arial"/>
          <w:color w:val="auto"/>
          <w:sz w:val="22"/>
          <w:szCs w:val="22"/>
        </w:rPr>
      </w:pPr>
      <w:r w:rsidRPr="007E7CAF">
        <w:rPr>
          <w:rFonts w:ascii="Arial" w:hAnsi="Arial" w:cs="Arial"/>
          <w:color w:val="auto"/>
          <w:sz w:val="22"/>
          <w:szCs w:val="22"/>
        </w:rPr>
        <w:t>Become familiar with the:</w:t>
      </w:r>
    </w:p>
    <w:p w:rsidR="00984A45" w:rsidRPr="007E7CAF" w:rsidRDefault="00984A45" w:rsidP="00F9158C">
      <w:pPr>
        <w:pStyle w:val="Default"/>
        <w:numPr>
          <w:ilvl w:val="1"/>
          <w:numId w:val="71"/>
        </w:numPr>
        <w:spacing w:after="60"/>
        <w:rPr>
          <w:rFonts w:ascii="Arial" w:hAnsi="Arial" w:cs="Arial"/>
          <w:color w:val="auto"/>
          <w:sz w:val="22"/>
          <w:szCs w:val="22"/>
        </w:rPr>
      </w:pPr>
      <w:r w:rsidRPr="007E7CAF">
        <w:rPr>
          <w:rFonts w:ascii="Arial" w:hAnsi="Arial" w:cs="Arial"/>
          <w:color w:val="auto"/>
          <w:sz w:val="22"/>
          <w:szCs w:val="22"/>
        </w:rPr>
        <w:t>12 guidelines related to disability, awareness, training, accessibility, and diversity,</w:t>
      </w:r>
    </w:p>
    <w:p w:rsidR="00984A45" w:rsidRPr="007E7CAF" w:rsidRDefault="00984A45" w:rsidP="00F9158C">
      <w:pPr>
        <w:pStyle w:val="Default"/>
        <w:numPr>
          <w:ilvl w:val="1"/>
          <w:numId w:val="71"/>
        </w:numPr>
        <w:spacing w:after="60"/>
        <w:rPr>
          <w:rFonts w:ascii="Arial" w:hAnsi="Arial" w:cs="Arial"/>
          <w:color w:val="auto"/>
          <w:sz w:val="22"/>
          <w:szCs w:val="22"/>
        </w:rPr>
      </w:pPr>
      <w:r w:rsidRPr="007E7CAF">
        <w:rPr>
          <w:rFonts w:ascii="Arial" w:hAnsi="Arial" w:cs="Arial"/>
          <w:color w:val="auto"/>
          <w:sz w:val="22"/>
          <w:szCs w:val="22"/>
        </w:rPr>
        <w:t xml:space="preserve">5 guidelines related to testing and assessment, and </w:t>
      </w:r>
    </w:p>
    <w:p w:rsidR="00984A45" w:rsidRPr="007E7CAF" w:rsidRDefault="00984A45" w:rsidP="00F9158C">
      <w:pPr>
        <w:pStyle w:val="Default"/>
        <w:numPr>
          <w:ilvl w:val="1"/>
          <w:numId w:val="71"/>
        </w:numPr>
        <w:spacing w:after="60"/>
        <w:rPr>
          <w:rFonts w:ascii="Arial" w:hAnsi="Arial" w:cs="Arial"/>
          <w:color w:val="auto"/>
          <w:sz w:val="22"/>
          <w:szCs w:val="22"/>
        </w:rPr>
      </w:pPr>
      <w:r w:rsidRPr="007E7CAF">
        <w:rPr>
          <w:rFonts w:ascii="Arial" w:hAnsi="Arial" w:cs="Arial"/>
          <w:color w:val="auto"/>
          <w:sz w:val="22"/>
          <w:szCs w:val="22"/>
        </w:rPr>
        <w:t>5 guidelines related to interventions.</w:t>
      </w:r>
    </w:p>
    <w:p w:rsidR="00984A45" w:rsidRPr="007E7CAF" w:rsidRDefault="00984A45" w:rsidP="00F9158C">
      <w:pPr>
        <w:pStyle w:val="Default"/>
        <w:numPr>
          <w:ilvl w:val="0"/>
          <w:numId w:val="71"/>
        </w:numPr>
        <w:spacing w:after="60"/>
        <w:rPr>
          <w:rFonts w:ascii="Arial" w:hAnsi="Arial" w:cs="Arial"/>
          <w:color w:val="auto"/>
          <w:sz w:val="22"/>
          <w:szCs w:val="22"/>
        </w:rPr>
      </w:pPr>
      <w:r w:rsidRPr="007E7CAF">
        <w:rPr>
          <w:rFonts w:ascii="Arial" w:hAnsi="Arial" w:cs="Arial"/>
          <w:color w:val="auto"/>
          <w:sz w:val="22"/>
          <w:szCs w:val="22"/>
        </w:rPr>
        <w:t>Determine how these guidelines could be adapted to public health professionals.</w:t>
      </w:r>
    </w:p>
    <w:p w:rsidR="00984A45" w:rsidRPr="004E0815" w:rsidRDefault="00D60AC7" w:rsidP="004E0815">
      <w:pPr>
        <w:pStyle w:val="Heading3"/>
      </w:pPr>
      <w:bookmarkStart w:id="41" w:name="_Toc403370695"/>
      <w:r w:rsidRPr="00D60AC7">
        <w:t>Outcome Goal Four:</w:t>
      </w:r>
      <w:r w:rsidR="004E0815">
        <w:t xml:space="preserve"> </w:t>
      </w:r>
      <w:r w:rsidRPr="00D60AC7">
        <w:t>Improve Access to Community En</w:t>
      </w:r>
      <w:r w:rsidR="004E0815">
        <w:t>vironments</w:t>
      </w:r>
      <w:bookmarkEnd w:id="41"/>
    </w:p>
    <w:p w:rsidR="00582039" w:rsidRPr="00582039" w:rsidRDefault="00582039" w:rsidP="004E0815">
      <w:pPr>
        <w:rPr>
          <w:b/>
        </w:rPr>
      </w:pPr>
      <w:r w:rsidRPr="004E0815">
        <w:t>In 1990, Congress passed the Americans with Disabilities Act (ADA), prohibiting discrimination on the basis of disability and requiring places of public accommodation and commercial facilities to be designed, constructed, and altered in compliance with the accessibility standards established within the law.  On September 15, 2010, revised regulations for Titles II and III of the ADA were published in the Federal Register.</w:t>
      </w:r>
      <w:r w:rsidRPr="00582039">
        <w:rPr>
          <w:rStyle w:val="FootnoteReference"/>
          <w:rFonts w:eastAsiaTheme="majorEastAsia" w:cs="Arial"/>
        </w:rPr>
        <w:footnoteReference w:id="79"/>
      </w:r>
      <w:r w:rsidRPr="00582039">
        <w:t xml:space="preserve"> </w:t>
      </w:r>
      <w:r w:rsidRPr="00582039">
        <w:rPr>
          <w:rStyle w:val="Strong"/>
          <w:rFonts w:cs="Arial"/>
          <w:b w:val="0"/>
        </w:rPr>
        <w:t>Final rules were effective March 15, 2011.</w:t>
      </w:r>
    </w:p>
    <w:p w:rsidR="00582039" w:rsidRPr="00582039" w:rsidRDefault="00582039" w:rsidP="004E0815">
      <w:r w:rsidRPr="00582039">
        <w:t xml:space="preserve">These updated standards set minimum requirements for newly designed and constructed or altered State and local government facilities, public accommodations, and commercial facilities to be readily accessible to and usable by individuals with disabilities. Compliance with the </w:t>
      </w:r>
      <w:hyperlink r:id="rId47" w:history="1">
        <w:r w:rsidRPr="00582039">
          <w:rPr>
            <w:rStyle w:val="Hyperlink"/>
            <w:rFonts w:eastAsiaTheme="majorEastAsia" w:cs="Arial"/>
            <w:b/>
            <w:i/>
            <w:color w:val="1F497D" w:themeColor="text2"/>
            <w:u w:val="none"/>
          </w:rPr>
          <w:t xml:space="preserve">2010 </w:t>
        </w:r>
        <w:r w:rsidRPr="004E0815">
          <w:rPr>
            <w:rStyle w:val="Hyperlink"/>
            <w:rFonts w:eastAsiaTheme="majorEastAsia" w:cs="Arial"/>
            <w:b/>
            <w:i/>
            <w:color w:val="000000" w:themeColor="text1"/>
            <w:u w:val="none"/>
          </w:rPr>
          <w:t xml:space="preserve">Standards for Accessible </w:t>
        </w:r>
        <w:r w:rsidRPr="004E0815">
          <w:rPr>
            <w:rStyle w:val="googqs-tidbit1"/>
            <w:rFonts w:cs="Arial"/>
            <w:b/>
            <w:i/>
            <w:color w:val="000000" w:themeColor="text1"/>
            <w:specVanish w:val="0"/>
          </w:rPr>
          <w:t>Design</w:t>
        </w:r>
      </w:hyperlink>
      <w:r w:rsidRPr="00582039">
        <w:rPr>
          <w:rStyle w:val="googqs-tidbit1"/>
          <w:rFonts w:cs="Arial"/>
          <w:specVanish w:val="0"/>
        </w:rPr>
        <w:t xml:space="preserve"> was required by March 15, 2012.</w:t>
      </w:r>
      <w:r w:rsidRPr="00582039">
        <w:t xml:space="preserve"> </w:t>
      </w:r>
    </w:p>
    <w:p w:rsidR="00582039" w:rsidRPr="00582039" w:rsidRDefault="00582039" w:rsidP="004E0815">
      <w:r w:rsidRPr="00582039">
        <w:lastRenderedPageBreak/>
        <w:t>In addition to ADA</w:t>
      </w:r>
      <w:r w:rsidRPr="00582039">
        <w:rPr>
          <w:b/>
          <w:color w:val="265285"/>
        </w:rPr>
        <w:t xml:space="preserve"> </w:t>
      </w:r>
      <w:r w:rsidRPr="00582039">
        <w:t xml:space="preserve">requirements, a number of organizations have emerged to design and </w:t>
      </w:r>
      <w:r w:rsidRPr="00582039">
        <w:rPr>
          <w:color w:val="000000"/>
        </w:rPr>
        <w:t>pro-mote accessible communities by encouraging the use of Universal Design—</w:t>
      </w:r>
      <w:r w:rsidRPr="00582039">
        <w:t>the concept that “all new environments and products, to the greatest extent possible, should be usable by everyone regardless of their age, ability, or circumstance.”</w:t>
      </w:r>
      <w:r w:rsidRPr="00582039">
        <w:rPr>
          <w:rStyle w:val="FootnoteReference"/>
          <w:rFonts w:eastAsiaTheme="majorEastAsia" w:cs="Arial"/>
        </w:rPr>
        <w:footnoteReference w:id="80"/>
      </w:r>
    </w:p>
    <w:p w:rsidR="00582039" w:rsidRDefault="00582039" w:rsidP="004E0815">
      <w:pPr>
        <w:rPr>
          <w:color w:val="000000" w:themeColor="text1"/>
        </w:rPr>
      </w:pPr>
      <w:r w:rsidRPr="00582039">
        <w:t xml:space="preserve">National initiatives such as the </w:t>
      </w:r>
      <w:r w:rsidRPr="004E0815">
        <w:rPr>
          <w:rStyle w:val="Strong"/>
          <w:i/>
        </w:rPr>
        <w:t>Public Health Preparedness Capabilities: National Standards for State and Local Planning and the Healthcare Preparedness Capabilities: National Guidance for Healthcare System Preparedness</w:t>
      </w:r>
      <w:r w:rsidRPr="00582039">
        <w:t xml:space="preserve"> recognize the importance of including experts knowledgeable about accessibility and inclusion for assuring safer, more resilient and better prepared communities.</w:t>
      </w:r>
      <w:r w:rsidRPr="00582039">
        <w:rPr>
          <w:color w:val="000000" w:themeColor="text1"/>
        </w:rPr>
        <w:t xml:space="preserve"> </w:t>
      </w:r>
    </w:p>
    <w:p w:rsidR="00A05423" w:rsidRPr="00A05423" w:rsidRDefault="00A05423" w:rsidP="00A05423">
      <w:pPr>
        <w:rPr>
          <w:rStyle w:val="Strong"/>
        </w:rPr>
      </w:pPr>
      <w:r w:rsidRPr="00A05423">
        <w:rPr>
          <w:rStyle w:val="Strong"/>
        </w:rPr>
        <w:t>Objective 4A</w:t>
      </w:r>
    </w:p>
    <w:p w:rsidR="00A05423" w:rsidRPr="00A05423" w:rsidRDefault="00A05423" w:rsidP="00A05423">
      <w:pPr>
        <w:rPr>
          <w:rStyle w:val="Strong"/>
        </w:rPr>
      </w:pPr>
      <w:r w:rsidRPr="00A05423">
        <w:rPr>
          <w:rStyle w:val="Strong"/>
        </w:rPr>
        <w:t>Through June 30, 2015, support the Emergency Preparedness (EP) Section of the Public Health and Safety Division of MTDPHHS and its partners (Montana Disaster and Emergency Services and Hospital Preparedness Program) to assure that Montanans with functional needs  are adequately represented in state and county Emergency Preparedness plans.</w:t>
      </w:r>
    </w:p>
    <w:p w:rsidR="00A57C41" w:rsidRPr="004E0815" w:rsidRDefault="00A57C41" w:rsidP="004E0815">
      <w:pPr>
        <w:rPr>
          <w:rStyle w:val="Strong"/>
        </w:rPr>
      </w:pPr>
      <w:r w:rsidRPr="004E0815">
        <w:rPr>
          <w:rStyle w:val="Strong"/>
        </w:rPr>
        <w:t>Rationale</w:t>
      </w:r>
    </w:p>
    <w:p w:rsidR="00A57C41" w:rsidRPr="005B4F53" w:rsidRDefault="00A57C41" w:rsidP="004E0815">
      <w:r w:rsidRPr="00BE5643">
        <w:t>“There are significant vulnerable populations in Montana who may need special assistance during times of emergency. According to 2010 US Census data, nearly 14.8% of the state's population is 65 years of age and over. Approximately 12.8% of Montana’s civilian non-institutionalized residents have been identified as a person with a disability. About 4.6% of the state's population speaks a second language at home. According to the Institute for Tourism and Recreation Research at the University of Montana, roughly 10 million non-resident travelers, unfamiliar with local conditions and emergency response capabilities, visit Montana each year. All special needs populations represent a unique emergency planning and response challenge to both state and local government that must be met.”</w:t>
      </w:r>
      <w:r w:rsidRPr="005B4F53">
        <w:rPr>
          <w:rStyle w:val="FootnoteReference"/>
          <w:i/>
        </w:rPr>
        <w:footnoteReference w:id="81"/>
      </w:r>
    </w:p>
    <w:p w:rsidR="00C213C2" w:rsidRPr="004E0815" w:rsidRDefault="005820E0" w:rsidP="00E87106">
      <w:pPr>
        <w:rPr>
          <w:rStyle w:val="Strong"/>
        </w:rPr>
      </w:pPr>
      <w:r w:rsidRPr="004E0815">
        <w:rPr>
          <w:rStyle w:val="Strong"/>
        </w:rPr>
        <w:t>Activities</w:t>
      </w:r>
      <w:r w:rsidR="00240A73" w:rsidRPr="004E0815">
        <w:rPr>
          <w:rStyle w:val="Strong"/>
        </w:rPr>
        <w:t>:</w:t>
      </w:r>
    </w:p>
    <w:p w:rsidR="005820E0" w:rsidRPr="00797D4D" w:rsidRDefault="00AE5389" w:rsidP="004E0815">
      <w:r w:rsidRPr="00797D4D">
        <w:t>The Montana Department of Health and Human Services (MTDPHHS)</w:t>
      </w:r>
      <w:r w:rsidR="004E31F8" w:rsidRPr="00797D4D">
        <w:t xml:space="preserve"> </w:t>
      </w:r>
      <w:r w:rsidR="005820E0" w:rsidRPr="00797D4D">
        <w:t xml:space="preserve">acts as the lead State agency for what the </w:t>
      </w:r>
      <w:r w:rsidR="005820E0" w:rsidRPr="00797D4D">
        <w:rPr>
          <w:bCs/>
        </w:rPr>
        <w:t xml:space="preserve">National Response Framework </w:t>
      </w:r>
      <w:r w:rsidR="005820E0" w:rsidRPr="00797D4D">
        <w:t xml:space="preserve">calls </w:t>
      </w:r>
      <w:r w:rsidR="005820E0" w:rsidRPr="00797D4D">
        <w:rPr>
          <w:i/>
        </w:rPr>
        <w:t xml:space="preserve">(ESF) #8: Public Health &amp; Medical Services </w:t>
      </w:r>
      <w:r w:rsidR="005820E0" w:rsidRPr="00797D4D">
        <w:t xml:space="preserve">as well as a supporting agency for </w:t>
      </w:r>
      <w:r w:rsidR="005820E0" w:rsidRPr="00797D4D">
        <w:rPr>
          <w:i/>
        </w:rPr>
        <w:t xml:space="preserve">ESF #6: Mass Care, Emergency Assistance, Housing, and Human Services. </w:t>
      </w:r>
      <w:r w:rsidR="005820E0" w:rsidRPr="00797D4D">
        <w:t xml:space="preserve">In this capacity, DPHHS will assist with coordinating the State’s health, medic and human services assets in the event of a major natural or man-made disaster, including: </w:t>
      </w:r>
    </w:p>
    <w:p w:rsidR="005820E0" w:rsidRPr="00C906FE" w:rsidRDefault="005820E0" w:rsidP="00F9158C">
      <w:pPr>
        <w:pStyle w:val="ListParagraph"/>
        <w:numPr>
          <w:ilvl w:val="0"/>
          <w:numId w:val="98"/>
        </w:numPr>
      </w:pPr>
      <w:r w:rsidRPr="005B4F53">
        <w:t>Coordination of timely and appropriate support</w:t>
      </w:r>
      <w:r w:rsidRPr="00C906FE">
        <w:t xml:space="preserve"> to individuals in need of </w:t>
      </w:r>
      <w:r w:rsidRPr="00F9158C">
        <w:rPr>
          <w:i/>
        </w:rPr>
        <w:t xml:space="preserve">additional </w:t>
      </w:r>
      <w:r w:rsidRPr="00C906FE">
        <w:t xml:space="preserve">assistance. These “Special Needs populations” may include those who: </w:t>
      </w:r>
    </w:p>
    <w:p w:rsidR="005820E0" w:rsidRPr="00C906FE" w:rsidRDefault="005820E0" w:rsidP="00F9158C">
      <w:pPr>
        <w:pStyle w:val="ListParagraph"/>
        <w:numPr>
          <w:ilvl w:val="1"/>
          <w:numId w:val="98"/>
        </w:numPr>
      </w:pPr>
      <w:r w:rsidRPr="00C906FE">
        <w:t xml:space="preserve">Have disabilities or certain medical conditions </w:t>
      </w:r>
    </w:p>
    <w:p w:rsidR="005820E0" w:rsidRPr="00C906FE" w:rsidRDefault="005820E0" w:rsidP="00F9158C">
      <w:pPr>
        <w:pStyle w:val="ListParagraph"/>
        <w:numPr>
          <w:ilvl w:val="1"/>
          <w:numId w:val="98"/>
        </w:numPr>
      </w:pPr>
      <w:r w:rsidRPr="00C906FE">
        <w:t xml:space="preserve">Live in institutional settings </w:t>
      </w:r>
    </w:p>
    <w:p w:rsidR="005820E0" w:rsidRPr="00C906FE" w:rsidRDefault="005820E0" w:rsidP="00F9158C">
      <w:pPr>
        <w:pStyle w:val="ListParagraph"/>
        <w:numPr>
          <w:ilvl w:val="1"/>
          <w:numId w:val="98"/>
        </w:numPr>
      </w:pPr>
      <w:r w:rsidRPr="00C906FE">
        <w:lastRenderedPageBreak/>
        <w:t xml:space="preserve">Are elderly </w:t>
      </w:r>
    </w:p>
    <w:p w:rsidR="005820E0" w:rsidRPr="00C906FE" w:rsidRDefault="005820E0" w:rsidP="00F9158C">
      <w:pPr>
        <w:pStyle w:val="ListParagraph"/>
        <w:numPr>
          <w:ilvl w:val="1"/>
          <w:numId w:val="98"/>
        </w:numPr>
      </w:pPr>
      <w:r w:rsidRPr="00C906FE">
        <w:t xml:space="preserve">Are from diverse cultures </w:t>
      </w:r>
    </w:p>
    <w:p w:rsidR="005820E0" w:rsidRPr="00C906FE" w:rsidRDefault="005820E0" w:rsidP="00F9158C">
      <w:pPr>
        <w:pStyle w:val="ListParagraph"/>
        <w:numPr>
          <w:ilvl w:val="1"/>
          <w:numId w:val="98"/>
        </w:numPr>
      </w:pPr>
      <w:r w:rsidRPr="00C906FE">
        <w:t xml:space="preserve">Have limited English proficiency or are non-English speaking </w:t>
      </w:r>
    </w:p>
    <w:p w:rsidR="005820E0" w:rsidRPr="00C906FE" w:rsidRDefault="005820E0" w:rsidP="00F9158C">
      <w:pPr>
        <w:pStyle w:val="ListParagraph"/>
        <w:numPr>
          <w:ilvl w:val="1"/>
          <w:numId w:val="98"/>
        </w:numPr>
      </w:pPr>
      <w:r w:rsidRPr="00C906FE">
        <w:t xml:space="preserve">Are minors </w:t>
      </w:r>
    </w:p>
    <w:p w:rsidR="005820E0" w:rsidRPr="00C906FE" w:rsidRDefault="005820E0" w:rsidP="00F9158C">
      <w:pPr>
        <w:pStyle w:val="ListParagraph"/>
        <w:numPr>
          <w:ilvl w:val="1"/>
          <w:numId w:val="98"/>
        </w:numPr>
      </w:pPr>
      <w:r w:rsidRPr="00C906FE">
        <w:t>Do not have transportation</w:t>
      </w:r>
      <w:r w:rsidRPr="00C906FE">
        <w:rPr>
          <w:rStyle w:val="FootnoteReference"/>
          <w:rFonts w:cs="Arial"/>
          <w:szCs w:val="22"/>
        </w:rPr>
        <w:footnoteReference w:id="82"/>
      </w:r>
      <w:r w:rsidRPr="00C906FE">
        <w:t xml:space="preserve"> </w:t>
      </w:r>
    </w:p>
    <w:p w:rsidR="005820E0" w:rsidRPr="00F9158C" w:rsidRDefault="005820E0" w:rsidP="00F9158C">
      <w:pPr>
        <w:pStyle w:val="ListParagraph"/>
        <w:numPr>
          <w:ilvl w:val="1"/>
          <w:numId w:val="98"/>
        </w:numPr>
        <w:rPr>
          <w:u w:val="single"/>
        </w:rPr>
      </w:pPr>
      <w:r w:rsidRPr="00C906FE">
        <w:t>Assist local and tribal health jurisdictions to prepare for and respond to health emergencies, coordinate local surveillance and response systems, and keep Montana citizens informed of any public health related emergencies.</w:t>
      </w:r>
      <w:r w:rsidRPr="00C906FE">
        <w:rPr>
          <w:rStyle w:val="FootnoteReference"/>
          <w:rFonts w:cs="Arial"/>
          <w:szCs w:val="22"/>
        </w:rPr>
        <w:footnoteReference w:id="83"/>
      </w:r>
    </w:p>
    <w:p w:rsidR="00C906FE" w:rsidRPr="00C906FE" w:rsidRDefault="00C906FE" w:rsidP="00C906FE">
      <w:pPr>
        <w:pStyle w:val="ListParagraph"/>
        <w:numPr>
          <w:ilvl w:val="0"/>
          <w:numId w:val="0"/>
        </w:numPr>
        <w:spacing w:after="120"/>
        <w:ind w:left="1440"/>
        <w:rPr>
          <w:rFonts w:cs="Arial"/>
          <w:sz w:val="12"/>
          <w:szCs w:val="12"/>
          <w:u w:val="single"/>
        </w:rPr>
      </w:pPr>
    </w:p>
    <w:p w:rsidR="00AE5389" w:rsidRPr="00C906FE" w:rsidRDefault="00AE5389" w:rsidP="00F9158C">
      <w:pPr>
        <w:pStyle w:val="ListParagraph"/>
        <w:numPr>
          <w:ilvl w:val="0"/>
          <w:numId w:val="98"/>
        </w:numPr>
      </w:pPr>
      <w:r w:rsidRPr="00C906FE">
        <w:t xml:space="preserve">Coordination of human services to meet </w:t>
      </w:r>
      <w:r w:rsidRPr="00F9158C">
        <w:rPr>
          <w:b/>
          <w:color w:val="404040" w:themeColor="text1" w:themeTint="BF"/>
        </w:rPr>
        <w:t>non-housing</w:t>
      </w:r>
      <w:r w:rsidRPr="00C906FE">
        <w:t xml:space="preserve"> needs of victims, including: </w:t>
      </w:r>
    </w:p>
    <w:p w:rsidR="009F5BA1" w:rsidRPr="009F5BA1" w:rsidRDefault="00AE5389" w:rsidP="00F9158C">
      <w:pPr>
        <w:pStyle w:val="ListParagraph"/>
        <w:numPr>
          <w:ilvl w:val="1"/>
          <w:numId w:val="98"/>
        </w:numPr>
      </w:pPr>
      <w:r w:rsidRPr="009F5BA1">
        <w:t>Disaster case management and social services (Medicaid, Food Stamps, etc.)</w:t>
      </w:r>
    </w:p>
    <w:p w:rsidR="00AE5389" w:rsidRPr="009F5BA1" w:rsidRDefault="00AE5389" w:rsidP="00F9158C">
      <w:pPr>
        <w:pStyle w:val="ListParagraph"/>
        <w:numPr>
          <w:ilvl w:val="1"/>
          <w:numId w:val="98"/>
        </w:numPr>
      </w:pPr>
      <w:r w:rsidRPr="009F5BA1">
        <w:t xml:space="preserve">Behavioral Health, and </w:t>
      </w:r>
    </w:p>
    <w:p w:rsidR="00AE5389" w:rsidRPr="009F5BA1" w:rsidRDefault="00AE5389" w:rsidP="00F9158C">
      <w:pPr>
        <w:pStyle w:val="ListParagraph"/>
        <w:numPr>
          <w:ilvl w:val="1"/>
          <w:numId w:val="98"/>
        </w:numPr>
      </w:pPr>
      <w:r w:rsidRPr="009F5BA1">
        <w:t>Unmet  needs assistance, as appropriate</w:t>
      </w:r>
    </w:p>
    <w:p w:rsidR="00CE7EB4" w:rsidRPr="00C906FE" w:rsidRDefault="00CE7EB4" w:rsidP="00CE7EB4">
      <w:pPr>
        <w:spacing w:after="120"/>
        <w:ind w:left="360"/>
        <w:rPr>
          <w:rFonts w:cs="Arial"/>
          <w:u w:val="single"/>
        </w:rPr>
      </w:pPr>
      <w:r w:rsidRPr="00C906FE">
        <w:rPr>
          <w:rFonts w:cs="Arial"/>
          <w:u w:val="single"/>
        </w:rPr>
        <w:t>Office of Public Health Emergency Preparedness and Training: Luke Fortune, Preparedness &amp; Training Program Supervisor</w:t>
      </w:r>
    </w:p>
    <w:p w:rsidR="001F7318" w:rsidRPr="00C906FE" w:rsidRDefault="001F7318" w:rsidP="00F9158C">
      <w:pPr>
        <w:pStyle w:val="ListParagraph"/>
        <w:numPr>
          <w:ilvl w:val="0"/>
          <w:numId w:val="99"/>
        </w:numPr>
      </w:pPr>
      <w:r w:rsidRPr="00C906FE">
        <w:t>Assure that all Local and Tribal Health Department EP plans include ARSP, their caregivers, and service animals.</w:t>
      </w:r>
    </w:p>
    <w:p w:rsidR="001F7318" w:rsidRPr="00C906FE" w:rsidRDefault="001F7318" w:rsidP="00F9158C">
      <w:pPr>
        <w:pStyle w:val="ListParagraph"/>
        <w:numPr>
          <w:ilvl w:val="0"/>
          <w:numId w:val="99"/>
        </w:numPr>
      </w:pPr>
      <w:r w:rsidRPr="00C906FE">
        <w:t>Partner with Montanan’s Area Agencies on Aging to address the needs and concerns of older Montanans at the local level.</w:t>
      </w:r>
    </w:p>
    <w:p w:rsidR="001F7318" w:rsidRPr="00F9158C" w:rsidRDefault="001F7318" w:rsidP="00F9158C">
      <w:pPr>
        <w:pStyle w:val="ListParagraph"/>
        <w:numPr>
          <w:ilvl w:val="0"/>
          <w:numId w:val="99"/>
        </w:numPr>
        <w:rPr>
          <w:u w:val="single"/>
        </w:rPr>
      </w:pPr>
      <w:r w:rsidRPr="00C906FE">
        <w:t>Develop tools and materials to assist local administrators in accomplishing deliverable goals.</w:t>
      </w:r>
    </w:p>
    <w:p w:rsidR="001F7318" w:rsidRPr="00F9158C" w:rsidRDefault="001F7318" w:rsidP="00F9158C">
      <w:pPr>
        <w:pStyle w:val="ListParagraph"/>
        <w:numPr>
          <w:ilvl w:val="0"/>
          <w:numId w:val="99"/>
        </w:numPr>
      </w:pPr>
      <w:r w:rsidRPr="00FD053E">
        <w:t>Identify and commit public health personnel for ARSP EP awareness training.</w:t>
      </w:r>
    </w:p>
    <w:p w:rsidR="001F7318" w:rsidRPr="00F9158C" w:rsidRDefault="001F7318" w:rsidP="00F9158C">
      <w:pPr>
        <w:pStyle w:val="ListParagraph"/>
        <w:numPr>
          <w:ilvl w:val="0"/>
          <w:numId w:val="99"/>
        </w:numPr>
      </w:pPr>
      <w:r w:rsidRPr="00FD053E">
        <w:t xml:space="preserve">Provide EP information to special, vulnerable, and at-risk populations, including people with disabilities and elders. </w:t>
      </w:r>
    </w:p>
    <w:p w:rsidR="001F7318" w:rsidRPr="00C906FE" w:rsidRDefault="001F7318" w:rsidP="00F9158C">
      <w:pPr>
        <w:pStyle w:val="ListParagraph"/>
        <w:numPr>
          <w:ilvl w:val="1"/>
          <w:numId w:val="99"/>
        </w:numPr>
      </w:pPr>
      <w:r w:rsidRPr="00C906FE">
        <w:t>Collec</w:t>
      </w:r>
      <w:r w:rsidR="004E31F8" w:rsidRPr="00C906FE">
        <w:t xml:space="preserve">t information that: </w:t>
      </w:r>
      <w:r w:rsidRPr="00C906FE">
        <w:t xml:space="preserve">1) identifies strengths, weaknesses and gaps in  </w:t>
      </w:r>
      <w:r w:rsidR="00C906FE">
        <w:t>local community efforts</w:t>
      </w:r>
      <w:r w:rsidRPr="00C906FE">
        <w:t>; and 2) demonstrates local level accomplishments for ARSP.</w:t>
      </w:r>
    </w:p>
    <w:p w:rsidR="00FD053E" w:rsidRPr="00FD053E" w:rsidRDefault="00FD053E" w:rsidP="00FD053E">
      <w:pPr>
        <w:pStyle w:val="ListParagraph"/>
        <w:numPr>
          <w:ilvl w:val="0"/>
          <w:numId w:val="0"/>
        </w:numPr>
        <w:spacing w:after="120"/>
        <w:ind w:left="1800"/>
        <w:rPr>
          <w:rFonts w:cs="Arial"/>
          <w:sz w:val="8"/>
          <w:szCs w:val="8"/>
        </w:rPr>
      </w:pPr>
    </w:p>
    <w:p w:rsidR="001F7318" w:rsidRPr="00F9158C" w:rsidRDefault="001F7318" w:rsidP="00F9158C">
      <w:pPr>
        <w:pStyle w:val="ListParagraph"/>
        <w:numPr>
          <w:ilvl w:val="0"/>
          <w:numId w:val="100"/>
        </w:numPr>
      </w:pPr>
      <w:r w:rsidRPr="00FD053E">
        <w:t>Assure that a description is included in all emergency response plans of how Local and Tribal Health Departments will serve ARSP in the event of an emergency.</w:t>
      </w:r>
    </w:p>
    <w:p w:rsidR="001F7318" w:rsidRPr="00F9158C" w:rsidRDefault="001F7318" w:rsidP="00F9158C">
      <w:pPr>
        <w:pStyle w:val="ListParagraph"/>
        <w:numPr>
          <w:ilvl w:val="0"/>
          <w:numId w:val="100"/>
        </w:numPr>
      </w:pPr>
      <w:r w:rsidRPr="00FD053E">
        <w:t>Assure that all Local and Tribal Health Department EP plans include ARSP, their caregivers, and service animals.</w:t>
      </w:r>
    </w:p>
    <w:p w:rsidR="001F7318" w:rsidRPr="00FD053E" w:rsidRDefault="001F7318" w:rsidP="00F9158C">
      <w:pPr>
        <w:pStyle w:val="ListParagraph"/>
        <w:numPr>
          <w:ilvl w:val="1"/>
          <w:numId w:val="100"/>
        </w:numPr>
      </w:pPr>
      <w:r w:rsidRPr="00FD053E">
        <w:t>Collect information that: 1) identifies strengths, weaknesses, and gaps in EP efforts in local communities; and 2) demonstrates work already done at the local level for ARSP.</w:t>
      </w:r>
    </w:p>
    <w:p w:rsidR="001F7318" w:rsidRPr="00FD053E" w:rsidRDefault="001F7318" w:rsidP="00FD053E">
      <w:pPr>
        <w:pStyle w:val="ListParagraph"/>
        <w:numPr>
          <w:ilvl w:val="0"/>
          <w:numId w:val="0"/>
        </w:numPr>
        <w:spacing w:after="120"/>
        <w:ind w:left="1440"/>
        <w:outlineLvl w:val="9"/>
        <w:rPr>
          <w:rFonts w:cs="Arial"/>
          <w:sz w:val="8"/>
          <w:szCs w:val="8"/>
        </w:rPr>
      </w:pPr>
    </w:p>
    <w:p w:rsidR="00FD053E" w:rsidRPr="00F9158C" w:rsidRDefault="001F7318" w:rsidP="00F9158C">
      <w:pPr>
        <w:pStyle w:val="ListParagraph"/>
        <w:numPr>
          <w:ilvl w:val="0"/>
          <w:numId w:val="101"/>
        </w:numPr>
      </w:pPr>
      <w:r w:rsidRPr="00FD053E">
        <w:t>Assure that a description is included in all emergency response plans of how Local and Tribal Health Departments will serve ARSP in the event of an emergency.</w:t>
      </w:r>
    </w:p>
    <w:p w:rsidR="00FD053E" w:rsidRPr="00F9158C" w:rsidRDefault="00FD053E" w:rsidP="00F9158C">
      <w:pPr>
        <w:pStyle w:val="ListParagraph"/>
        <w:numPr>
          <w:ilvl w:val="0"/>
          <w:numId w:val="101"/>
        </w:numPr>
      </w:pPr>
      <w:r w:rsidRPr="00FD053E">
        <w:t>Assure that all Local and Tribal Health Department EP plans include ARSP, their caregivers, and service animals.</w:t>
      </w:r>
    </w:p>
    <w:p w:rsidR="00FD053E" w:rsidRPr="00F9158C" w:rsidRDefault="00FD053E" w:rsidP="00F9158C">
      <w:pPr>
        <w:pStyle w:val="ListParagraph"/>
        <w:numPr>
          <w:ilvl w:val="0"/>
          <w:numId w:val="101"/>
        </w:numPr>
      </w:pPr>
      <w:r w:rsidRPr="00FD053E">
        <w:t>Collect information that: 1) identifies strengths, weaknesses, and gaps in EP efforts in local communities; and 2) demonstrates work already done at the local level for ARSP.</w:t>
      </w:r>
    </w:p>
    <w:p w:rsidR="001F7318" w:rsidRPr="00F9158C" w:rsidRDefault="00FD053E" w:rsidP="00F9158C">
      <w:pPr>
        <w:pStyle w:val="ListParagraph"/>
        <w:numPr>
          <w:ilvl w:val="0"/>
          <w:numId w:val="101"/>
        </w:numPr>
        <w:rPr>
          <w:u w:val="single"/>
        </w:rPr>
      </w:pPr>
      <w:r w:rsidRPr="00FD053E">
        <w:lastRenderedPageBreak/>
        <w:t>Assure that a description is included in all emergency response plans of how Local and Tribal Health Departments will serve ARSP in the event of an emergency</w:t>
      </w:r>
    </w:p>
    <w:p w:rsidR="00C213C2" w:rsidRDefault="00CE7EB4" w:rsidP="00F9158C">
      <w:pPr>
        <w:pStyle w:val="ListParagraph"/>
        <w:numPr>
          <w:ilvl w:val="0"/>
          <w:numId w:val="101"/>
        </w:numPr>
      </w:pPr>
      <w:r>
        <w:t>Assure that a description is included in all emergency response plans of how Local and Tribal Health Departments will serve ARSP in the event of an emergency.</w:t>
      </w:r>
    </w:p>
    <w:p w:rsidR="001F7318" w:rsidRPr="00AE5389" w:rsidRDefault="001F7318" w:rsidP="00F9158C">
      <w:pPr>
        <w:pStyle w:val="ListParagraph"/>
        <w:numPr>
          <w:ilvl w:val="0"/>
          <w:numId w:val="101"/>
        </w:numPr>
      </w:pPr>
      <w:r>
        <w:t>Assure that all Local and Tribal Health Department EP plans include ARSP, their caregivers, and service animals.</w:t>
      </w:r>
    </w:p>
    <w:p w:rsidR="00172C90" w:rsidRPr="00172C90" w:rsidRDefault="00172C90" w:rsidP="00172C90">
      <w:pPr>
        <w:spacing w:after="120"/>
        <w:ind w:firstLine="360"/>
        <w:rPr>
          <w:rFonts w:cs="Arial"/>
          <w:u w:val="single"/>
        </w:rPr>
      </w:pPr>
      <w:r w:rsidRPr="00172C90">
        <w:rPr>
          <w:rFonts w:cs="Arial"/>
          <w:u w:val="single"/>
        </w:rPr>
        <w:t>Local / Tribal Health Departments: County and Tribal Health Directors</w:t>
      </w:r>
    </w:p>
    <w:p w:rsidR="00172C90" w:rsidRPr="00A05423" w:rsidRDefault="00172C90" w:rsidP="005674D0">
      <w:pPr>
        <w:spacing w:after="0"/>
        <w:ind w:left="288"/>
        <w:rPr>
          <w:rFonts w:cs="Arial"/>
          <w:b/>
          <w:color w:val="000000" w:themeColor="text1"/>
        </w:rPr>
      </w:pPr>
      <w:r w:rsidRPr="00A05423">
        <w:rPr>
          <w:rFonts w:cs="Arial"/>
          <w:b/>
          <w:color w:val="000000" w:themeColor="text1"/>
        </w:rPr>
        <w:t xml:space="preserve">ARSP-1: Training </w:t>
      </w:r>
    </w:p>
    <w:p w:rsidR="00172C90" w:rsidRPr="005674D0" w:rsidRDefault="00172C90" w:rsidP="00F9158C">
      <w:pPr>
        <w:pStyle w:val="ListParagraph"/>
        <w:numPr>
          <w:ilvl w:val="0"/>
          <w:numId w:val="97"/>
        </w:numPr>
        <w:rPr>
          <w:color w:val="1F497D" w:themeColor="text2"/>
        </w:rPr>
      </w:pPr>
      <w:r w:rsidRPr="00172C90">
        <w:t>Identify / commit public health personnel for ARSP EP and awareness training.</w:t>
      </w:r>
    </w:p>
    <w:p w:rsidR="00172C90" w:rsidRDefault="00172C90" w:rsidP="00F9158C">
      <w:pPr>
        <w:pStyle w:val="ListParagraph"/>
        <w:numPr>
          <w:ilvl w:val="0"/>
          <w:numId w:val="97"/>
        </w:numPr>
      </w:pPr>
      <w:r w:rsidRPr="00172C90">
        <w:t>Select and attend a communications-related training.</w:t>
      </w:r>
    </w:p>
    <w:p w:rsidR="00C906FE" w:rsidRPr="00C906FE" w:rsidRDefault="00C906FE" w:rsidP="00F9158C">
      <w:pPr>
        <w:pStyle w:val="ListParagraph"/>
        <w:numPr>
          <w:ilvl w:val="0"/>
          <w:numId w:val="97"/>
        </w:numPr>
      </w:pPr>
      <w:r w:rsidRPr="00C906FE">
        <w:t>Promote the inclusion of PWD and their caregivers, attendants or other key people in emergency preparedness training and education exercises.</w:t>
      </w:r>
    </w:p>
    <w:p w:rsidR="00172C90" w:rsidRPr="00A05423" w:rsidRDefault="00172C90" w:rsidP="00F9158C">
      <w:pPr>
        <w:spacing w:after="0"/>
        <w:ind w:left="288"/>
        <w:rPr>
          <w:rFonts w:cs="Arial"/>
          <w:b/>
          <w:color w:val="000000" w:themeColor="text1"/>
        </w:rPr>
      </w:pPr>
      <w:r w:rsidRPr="00A05423">
        <w:rPr>
          <w:rFonts w:cs="Arial"/>
          <w:b/>
          <w:color w:val="000000" w:themeColor="text1"/>
        </w:rPr>
        <w:t xml:space="preserve">ARSP-2: Outreach </w:t>
      </w:r>
    </w:p>
    <w:p w:rsidR="00172C90" w:rsidRPr="00172C90" w:rsidRDefault="00172C90" w:rsidP="00F9158C">
      <w:pPr>
        <w:pStyle w:val="ListParagraph"/>
        <w:numPr>
          <w:ilvl w:val="0"/>
          <w:numId w:val="96"/>
        </w:numPr>
      </w:pPr>
      <w:r w:rsidRPr="00172C90">
        <w:t>Work with local organizations to: a) register with the Montana Volunteer Registry; and b) assist ARSP during a public health emergency.</w:t>
      </w:r>
    </w:p>
    <w:p w:rsidR="00172C90" w:rsidRPr="00172C90" w:rsidRDefault="00172C90" w:rsidP="00F9158C">
      <w:pPr>
        <w:pStyle w:val="ListParagraph"/>
        <w:numPr>
          <w:ilvl w:val="0"/>
          <w:numId w:val="96"/>
        </w:numPr>
      </w:pPr>
      <w:r w:rsidRPr="00172C90">
        <w:t>Maintain the list of community service organizations and contacts for ARSP with the jurisdiction.</w:t>
      </w:r>
    </w:p>
    <w:p w:rsidR="00172C90" w:rsidRDefault="00172C90" w:rsidP="00F9158C">
      <w:pPr>
        <w:pStyle w:val="ListParagraph"/>
        <w:numPr>
          <w:ilvl w:val="0"/>
          <w:numId w:val="96"/>
        </w:numPr>
      </w:pPr>
      <w:r w:rsidRPr="00172C90">
        <w:t xml:space="preserve">Identify and develop a collaborative partnership with the DPHHS Area Agency on Aging representative for the community, county or jurisdiction. </w:t>
      </w:r>
    </w:p>
    <w:p w:rsidR="00172C90" w:rsidRPr="00F9158C" w:rsidRDefault="00172C90" w:rsidP="00F9158C">
      <w:pPr>
        <w:spacing w:after="0"/>
        <w:ind w:left="288"/>
        <w:rPr>
          <w:rStyle w:val="Strong"/>
        </w:rPr>
      </w:pPr>
      <w:r w:rsidRPr="00F9158C">
        <w:rPr>
          <w:rStyle w:val="Strong"/>
        </w:rPr>
        <w:t xml:space="preserve">ARSP-3: Planning </w:t>
      </w:r>
    </w:p>
    <w:p w:rsidR="00172C90" w:rsidRPr="005674D0" w:rsidRDefault="00172C90" w:rsidP="00F9158C">
      <w:pPr>
        <w:pStyle w:val="ListParagraph"/>
        <w:numPr>
          <w:ilvl w:val="0"/>
          <w:numId w:val="95"/>
        </w:numPr>
      </w:pPr>
      <w:r w:rsidRPr="00172C90">
        <w:t>Provide a description of how the Local or Tribal Health Department will serve ARSP individuals in the event of a health emergency.</w:t>
      </w:r>
    </w:p>
    <w:p w:rsidR="00172C90" w:rsidRPr="005674D0" w:rsidRDefault="00172C90" w:rsidP="00F9158C">
      <w:pPr>
        <w:pStyle w:val="ListParagraph"/>
        <w:numPr>
          <w:ilvl w:val="1"/>
          <w:numId w:val="95"/>
        </w:numPr>
      </w:pPr>
      <w:r w:rsidRPr="00EA6649">
        <w:t>Integrate citizen participation in the planning process at all levels.</w:t>
      </w:r>
    </w:p>
    <w:p w:rsidR="00EA6649" w:rsidRPr="005674D0" w:rsidRDefault="00172C90" w:rsidP="00F9158C">
      <w:pPr>
        <w:pStyle w:val="ListParagraph"/>
        <w:numPr>
          <w:ilvl w:val="1"/>
          <w:numId w:val="95"/>
        </w:numPr>
      </w:pPr>
      <w:r w:rsidRPr="00EA6649">
        <w:t>Develop and provide community preparedness public education programs and materials for ARSP.</w:t>
      </w:r>
    </w:p>
    <w:p w:rsidR="00172C90" w:rsidRPr="005674D0" w:rsidRDefault="00EA6649" w:rsidP="00F9158C">
      <w:pPr>
        <w:pStyle w:val="ListParagraph"/>
        <w:numPr>
          <w:ilvl w:val="1"/>
          <w:numId w:val="95"/>
        </w:numPr>
      </w:pPr>
      <w:r w:rsidRPr="00EA6649">
        <w:t>Support community infrastructure to achieve appropriate levels of preparedness</w:t>
      </w:r>
    </w:p>
    <w:p w:rsidR="00172C90" w:rsidRPr="005674D0" w:rsidRDefault="00172C90" w:rsidP="00F9158C">
      <w:pPr>
        <w:pStyle w:val="ListParagraph"/>
        <w:numPr>
          <w:ilvl w:val="1"/>
          <w:numId w:val="95"/>
        </w:numPr>
      </w:pPr>
      <w:r w:rsidRPr="00172C90">
        <w:t xml:space="preserve">Collaborate with local community service organizations and other agencies for ARSP within the jurisdiction. </w:t>
      </w:r>
    </w:p>
    <w:p w:rsidR="00172C90" w:rsidRPr="005674D0" w:rsidRDefault="00172C90" w:rsidP="00F9158C">
      <w:pPr>
        <w:pStyle w:val="ListParagraph"/>
        <w:numPr>
          <w:ilvl w:val="1"/>
          <w:numId w:val="95"/>
        </w:numPr>
      </w:pPr>
      <w:r w:rsidRPr="00172C90">
        <w:t>Provide messaging, planning, vaccine distribution and protocols for accommodating ARSP through collaboration with identified community services.</w:t>
      </w:r>
    </w:p>
    <w:p w:rsidR="00172C90" w:rsidRDefault="00172C90" w:rsidP="00F9158C">
      <w:pPr>
        <w:pStyle w:val="ListParagraph"/>
        <w:numPr>
          <w:ilvl w:val="1"/>
          <w:numId w:val="95"/>
        </w:numPr>
      </w:pPr>
      <w:r w:rsidRPr="00172C90">
        <w:t>Determine locations of ARSP who need assistance with evacuation from an affected area.</w:t>
      </w:r>
    </w:p>
    <w:p w:rsidR="001D4CA1" w:rsidRPr="001D4CA1" w:rsidRDefault="001D4CA1" w:rsidP="001D4CA1">
      <w:pPr>
        <w:spacing w:line="240" w:lineRule="auto"/>
        <w:ind w:left="360"/>
        <w:rPr>
          <w:rFonts w:cs="Arial"/>
          <w:u w:val="single"/>
        </w:rPr>
      </w:pPr>
      <w:r w:rsidRPr="001D4CA1">
        <w:rPr>
          <w:rFonts w:cs="Arial"/>
          <w:u w:val="single"/>
        </w:rPr>
        <w:t xml:space="preserve">Red Cross of Montana: </w:t>
      </w:r>
      <w:r w:rsidRPr="001D4CA1">
        <w:rPr>
          <w:rStyle w:val="ft"/>
          <w:rFonts w:cs="Arial"/>
          <w:u w:val="single"/>
        </w:rPr>
        <w:t xml:space="preserve">Rodd Kopp, Regional </w:t>
      </w:r>
      <w:r w:rsidRPr="001D4CA1">
        <w:rPr>
          <w:rStyle w:val="Emphasis"/>
          <w:rFonts w:ascii="Arial" w:hAnsi="Arial" w:cs="Arial"/>
          <w:u w:val="single"/>
        </w:rPr>
        <w:t>CEO, Montana</w:t>
      </w:r>
      <w:r w:rsidRPr="001D4CA1">
        <w:rPr>
          <w:rStyle w:val="ft"/>
          <w:rFonts w:cs="Arial"/>
          <w:color w:val="444444"/>
        </w:rPr>
        <w:t> </w:t>
      </w:r>
    </w:p>
    <w:p w:rsidR="001D4CA1" w:rsidRPr="005674D0" w:rsidRDefault="001D4CA1" w:rsidP="00F9158C">
      <w:pPr>
        <w:pStyle w:val="ListParagraph"/>
        <w:numPr>
          <w:ilvl w:val="0"/>
          <w:numId w:val="94"/>
        </w:numPr>
      </w:pPr>
      <w:r w:rsidRPr="005674D0">
        <w:t>Create a roster of all designated emergency shelters in Montana.</w:t>
      </w:r>
    </w:p>
    <w:p w:rsidR="009F5BA1" w:rsidRPr="005674D0" w:rsidRDefault="001D4CA1" w:rsidP="00F9158C">
      <w:pPr>
        <w:pStyle w:val="ListParagraph"/>
        <w:numPr>
          <w:ilvl w:val="0"/>
          <w:numId w:val="94"/>
        </w:numPr>
        <w:rPr>
          <w:sz w:val="23"/>
          <w:szCs w:val="23"/>
          <w:u w:val="single"/>
        </w:rPr>
      </w:pPr>
      <w:r w:rsidRPr="005674D0">
        <w:t>Assess shelter capacity to meet the needs of PWD in accordance with ADA recommendations.</w:t>
      </w:r>
    </w:p>
    <w:p w:rsidR="005674D0" w:rsidRDefault="001D4CA1" w:rsidP="005674D0">
      <w:pPr>
        <w:tabs>
          <w:tab w:val="left" w:pos="810"/>
          <w:tab w:val="left" w:pos="1080"/>
        </w:tabs>
        <w:spacing w:line="240" w:lineRule="auto"/>
        <w:rPr>
          <w:rFonts w:cs="Arial"/>
          <w:sz w:val="23"/>
          <w:szCs w:val="23"/>
          <w:u w:val="single"/>
        </w:rPr>
      </w:pPr>
      <w:r w:rsidRPr="009F5BA1">
        <w:rPr>
          <w:rFonts w:cs="Arial"/>
          <w:color w:val="FFFFFF" w:themeColor="background1"/>
          <w:sz w:val="23"/>
          <w:szCs w:val="23"/>
          <w:u w:val="single"/>
        </w:rPr>
        <w:t xml:space="preserve"> </w:t>
      </w:r>
      <w:r w:rsidR="00EA6649" w:rsidRPr="009F5BA1">
        <w:rPr>
          <w:rFonts w:cs="Arial"/>
          <w:sz w:val="23"/>
          <w:szCs w:val="23"/>
          <w:u w:val="single"/>
        </w:rPr>
        <w:t>MTDH: Meg Traci,</w:t>
      </w:r>
      <w:r w:rsidR="005674D0">
        <w:rPr>
          <w:rFonts w:cs="Arial"/>
          <w:sz w:val="23"/>
          <w:szCs w:val="23"/>
          <w:u w:val="single"/>
        </w:rPr>
        <w:t xml:space="preserve"> PhD, PI, MTDH Program Director</w:t>
      </w:r>
    </w:p>
    <w:p w:rsidR="001D4CA1" w:rsidRPr="005674D0" w:rsidRDefault="001D4CA1" w:rsidP="00F9158C">
      <w:pPr>
        <w:pStyle w:val="ListParagraph"/>
        <w:numPr>
          <w:ilvl w:val="0"/>
          <w:numId w:val="93"/>
        </w:numPr>
        <w:tabs>
          <w:tab w:val="left" w:pos="810"/>
          <w:tab w:val="left" w:pos="1080"/>
        </w:tabs>
        <w:spacing w:line="240" w:lineRule="auto"/>
        <w:rPr>
          <w:rFonts w:cs="Arial"/>
          <w:sz w:val="23"/>
          <w:szCs w:val="23"/>
          <w:u w:val="single"/>
        </w:rPr>
      </w:pPr>
      <w:r>
        <w:lastRenderedPageBreak/>
        <w:t xml:space="preserve">Serve as a resource within the state by providing technical assistance (e.g. advise, consultation, presentations, tools, training, assessments and materials). </w:t>
      </w:r>
    </w:p>
    <w:p w:rsidR="001D4CA1" w:rsidRPr="005674D0" w:rsidRDefault="001D4CA1" w:rsidP="00F9158C">
      <w:pPr>
        <w:pStyle w:val="ListParagraph"/>
        <w:numPr>
          <w:ilvl w:val="0"/>
          <w:numId w:val="92"/>
        </w:numPr>
      </w:pPr>
      <w:r w:rsidRPr="001D4CA1">
        <w:t xml:space="preserve">Promote and provide trainings addressing the various needs of PWD in emergency situations to emergency responders and emergency shelter managers. </w:t>
      </w:r>
    </w:p>
    <w:p w:rsidR="00EA6649" w:rsidRPr="005674D0" w:rsidRDefault="00EA6649" w:rsidP="00F9158C">
      <w:pPr>
        <w:pStyle w:val="ListParagraph"/>
        <w:numPr>
          <w:ilvl w:val="0"/>
          <w:numId w:val="92"/>
        </w:numPr>
      </w:pPr>
      <w:r w:rsidRPr="00EA6649">
        <w:t>Support Montana’s Emergency Support Function (ESF#8) partners to take a “Whole Communities” approach to prevent, protect against, respond to, mitigate, and rapidly recover from these threats</w:t>
      </w:r>
      <w:r w:rsidRPr="00EA6649">
        <w:rPr>
          <w:rStyle w:val="FootnoteReference"/>
          <w:rFonts w:cs="Arial"/>
          <w:szCs w:val="22"/>
        </w:rPr>
        <w:footnoteReference w:id="84"/>
      </w:r>
      <w:r w:rsidRPr="00EA6649">
        <w:t xml:space="preserve"> while attending to the needs of ARSP, defined as “those with critical functional health needs that are beyond their capability to maintain during an emergency.”</w:t>
      </w:r>
      <w:r w:rsidRPr="00EA6649">
        <w:rPr>
          <w:rStyle w:val="FootnoteReference"/>
          <w:rFonts w:cs="Arial"/>
          <w:szCs w:val="22"/>
        </w:rPr>
        <w:footnoteReference w:id="85"/>
      </w:r>
      <w:r w:rsidRPr="00EA6649">
        <w:t xml:space="preserve"> </w:t>
      </w:r>
    </w:p>
    <w:p w:rsidR="00EA6649" w:rsidRDefault="00EA6649" w:rsidP="00F9158C">
      <w:pPr>
        <w:pStyle w:val="ListParagraph"/>
        <w:numPr>
          <w:ilvl w:val="0"/>
          <w:numId w:val="92"/>
        </w:numPr>
      </w:pPr>
      <w:r w:rsidRPr="00EA6649">
        <w:t>Periodically update the MTDH website on Emergency Preparedness</w:t>
      </w:r>
      <w:r w:rsidRPr="00EA6649">
        <w:rPr>
          <w:rStyle w:val="FootnoteReference"/>
          <w:rFonts w:cs="Arial"/>
          <w:szCs w:val="22"/>
        </w:rPr>
        <w:footnoteReference w:id="86"/>
      </w:r>
      <w:r w:rsidRPr="00EA6649">
        <w:t xml:space="preserve"> and encourage people with disabilities and/or functional needs to access information on the website.</w:t>
      </w:r>
    </w:p>
    <w:p w:rsidR="008A552F" w:rsidRPr="005674D0" w:rsidRDefault="008A552F" w:rsidP="00F9158C">
      <w:pPr>
        <w:pStyle w:val="ListParagraph"/>
        <w:numPr>
          <w:ilvl w:val="0"/>
          <w:numId w:val="92"/>
        </w:numPr>
      </w:pPr>
      <w:r>
        <w:t>Identify approaches for developing and disseminating tools to create an emergency preparedness plan to care providers of PWD.</w:t>
      </w:r>
    </w:p>
    <w:p w:rsidR="009F5BA1" w:rsidRPr="00EA6649" w:rsidRDefault="001D4CA1" w:rsidP="00F9158C">
      <w:pPr>
        <w:pStyle w:val="ListParagraph"/>
        <w:numPr>
          <w:ilvl w:val="0"/>
          <w:numId w:val="92"/>
        </w:numPr>
      </w:pPr>
      <w:r>
        <w:t xml:space="preserve">Identify approaches for developing and disseminating tools to create an </w:t>
      </w:r>
      <w:r w:rsidR="008A552F">
        <w:t>emergency preparedness plan to care providers of PWD.</w:t>
      </w:r>
    </w:p>
    <w:p w:rsidR="009F5BA1" w:rsidRPr="00EA6649" w:rsidRDefault="00EA6649" w:rsidP="00F9158C">
      <w:pPr>
        <w:pStyle w:val="ListParagraph"/>
        <w:numPr>
          <w:ilvl w:val="0"/>
          <w:numId w:val="92"/>
        </w:numPr>
      </w:pPr>
      <w:r w:rsidRPr="00EA6649">
        <w:t>Partner with the Montana Red Cross to assure that emergency shelters are accessible to persons with disabilities.</w:t>
      </w:r>
    </w:p>
    <w:p w:rsidR="00EA6649" w:rsidRPr="00EA6649" w:rsidRDefault="00EA6649" w:rsidP="00F9158C">
      <w:pPr>
        <w:pStyle w:val="ListParagraph"/>
        <w:numPr>
          <w:ilvl w:val="0"/>
          <w:numId w:val="92"/>
        </w:numPr>
      </w:pPr>
      <w:r w:rsidRPr="00EA6649">
        <w:t>Partner with existing networks to collect baseline data regarding the number of PWD who have an emergency plan and/or kit.</w:t>
      </w:r>
    </w:p>
    <w:p w:rsidR="00EA6649" w:rsidRPr="00EA6649" w:rsidRDefault="00EA6649" w:rsidP="00F9158C">
      <w:pPr>
        <w:pStyle w:val="ListParagraph"/>
        <w:numPr>
          <w:ilvl w:val="1"/>
          <w:numId w:val="92"/>
        </w:numPr>
      </w:pPr>
      <w:r w:rsidRPr="00EA6649">
        <w:t>Create a personal support network or self-help team that can help identify needs and obtain necessary resources for meeting those needs during and after an emergency, and</w:t>
      </w:r>
    </w:p>
    <w:p w:rsidR="008A552F" w:rsidRPr="005674D0" w:rsidRDefault="00EA6649" w:rsidP="00F9158C">
      <w:pPr>
        <w:pStyle w:val="ListParagraph"/>
        <w:numPr>
          <w:ilvl w:val="1"/>
          <w:numId w:val="92"/>
        </w:numPr>
      </w:pPr>
      <w:r w:rsidRPr="008A552F">
        <w:t xml:space="preserve">Assist PWD to create a personal emergency preparedness plan and/or kit that addresses the following needs: transportation and communication; specific resources (e.g. medical, nutritional, service animals); personal hygiene; and mental health. </w:t>
      </w:r>
    </w:p>
    <w:p w:rsidR="00EA6649" w:rsidRPr="00EA6649" w:rsidRDefault="00EA6649" w:rsidP="00F9158C">
      <w:pPr>
        <w:pStyle w:val="ListParagraph"/>
        <w:numPr>
          <w:ilvl w:val="0"/>
          <w:numId w:val="92"/>
        </w:numPr>
      </w:pPr>
      <w:r w:rsidRPr="00EA6649">
        <w:t>Increase awareness of state, county and tribal health departments of the importance of including people with disabilities and their caregivers, attendants or other key people in emergency preparedness exercise planning, training and education activities.</w:t>
      </w:r>
    </w:p>
    <w:p w:rsidR="00EA6649" w:rsidRPr="00EA6649" w:rsidRDefault="00EA6649" w:rsidP="005674D0">
      <w:pPr>
        <w:rPr>
          <w:sz w:val="8"/>
          <w:szCs w:val="8"/>
        </w:rPr>
      </w:pPr>
    </w:p>
    <w:p w:rsidR="00797D4D" w:rsidRDefault="00EA6649" w:rsidP="00F9158C">
      <w:pPr>
        <w:pStyle w:val="ListParagraph"/>
        <w:numPr>
          <w:ilvl w:val="0"/>
          <w:numId w:val="92"/>
        </w:numPr>
      </w:pPr>
      <w:r w:rsidRPr="00EA6649">
        <w:t>Assure that local and tribal health departments include people with disabilities in emergency exercise planning and exercises.</w:t>
      </w:r>
    </w:p>
    <w:p w:rsidR="00A05423" w:rsidRPr="00A05423" w:rsidRDefault="00A05423" w:rsidP="00A05423">
      <w:pPr>
        <w:rPr>
          <w:rStyle w:val="Strong"/>
        </w:rPr>
      </w:pPr>
      <w:r w:rsidRPr="00A05423">
        <w:rPr>
          <w:rStyle w:val="Strong"/>
        </w:rPr>
        <w:t>Objective 4B:</w:t>
      </w:r>
    </w:p>
    <w:p w:rsidR="00A05423" w:rsidRPr="00A05423" w:rsidRDefault="00A05423" w:rsidP="00A05423">
      <w:pPr>
        <w:rPr>
          <w:rStyle w:val="Strong"/>
        </w:rPr>
      </w:pPr>
      <w:r w:rsidRPr="00A05423">
        <w:rPr>
          <w:rStyle w:val="Strong"/>
        </w:rPr>
        <w:t>By June 30, 2015, support Montana Independent Living Centers in assisting 150 people with disabilities to return from nursing homes, state institutional hospitals, and rehabilitation hospitals to community-based living.</w:t>
      </w:r>
    </w:p>
    <w:p w:rsidR="00797D4D" w:rsidRPr="00023406" w:rsidRDefault="00797D4D" w:rsidP="00E87106">
      <w:pPr>
        <w:rPr>
          <w:rStyle w:val="Strong"/>
        </w:rPr>
      </w:pPr>
      <w:r w:rsidRPr="00023406">
        <w:rPr>
          <w:rStyle w:val="Strong"/>
        </w:rPr>
        <w:t>Rationale</w:t>
      </w:r>
    </w:p>
    <w:p w:rsidR="00797D4D" w:rsidRDefault="00797D4D" w:rsidP="00023406">
      <w:r w:rsidRPr="007A2BDF">
        <w:lastRenderedPageBreak/>
        <w:t xml:space="preserve">In 2008, the </w:t>
      </w:r>
      <w:r w:rsidRPr="007A2BDF">
        <w:rPr>
          <w:i/>
        </w:rPr>
        <w:t>UMRI Research and Training Center on Disability in Rural Communities</w:t>
      </w:r>
      <w:r w:rsidRPr="007A2BDF">
        <w:t xml:space="preserve"> conducted a national survey of Centers for Independent Living (CILs) to provide baseline data regarding the status of CIL nursing home emancipation resources, issues, practices, and accomplishments. Nursing home emancipation or transition was defined as "…activities and services that directly assist individuals living in a nursing home to relocate successfully from a nursing home to community based living arrangements." </w:t>
      </w:r>
    </w:p>
    <w:p w:rsidR="00AF7503" w:rsidRDefault="00AF7503" w:rsidP="00023406">
      <w:r w:rsidRPr="00AF7503">
        <w:t>Overall, the data illustrate that centers for independent living are successfully helping people with disabilities return from nursing homes to community-based living. It is particularly noteworthy that only about 2% of those emancipated return to nursing homes for any reason.</w:t>
      </w:r>
      <w:r w:rsidRPr="00AF7503">
        <w:rPr>
          <w:rStyle w:val="FootnoteReference"/>
          <w:rFonts w:cs="Arial"/>
        </w:rPr>
        <w:footnoteReference w:id="87"/>
      </w:r>
    </w:p>
    <w:p w:rsidR="009F5BA1" w:rsidRPr="009F5BA1" w:rsidRDefault="009F5BA1" w:rsidP="009F5BA1">
      <w:pPr>
        <w:rPr>
          <w:rStyle w:val="Strong"/>
        </w:rPr>
      </w:pPr>
      <w:r w:rsidRPr="009F5BA1">
        <w:rPr>
          <w:rStyle w:val="Strong"/>
        </w:rPr>
        <w:t>Activities</w:t>
      </w:r>
    </w:p>
    <w:p w:rsidR="009F5BA1" w:rsidRPr="009F5BA1" w:rsidRDefault="009F5BA1" w:rsidP="00F9158C">
      <w:pPr>
        <w:pStyle w:val="ListParagraph"/>
        <w:numPr>
          <w:ilvl w:val="0"/>
          <w:numId w:val="85"/>
        </w:numPr>
        <w:ind w:left="648"/>
      </w:pPr>
      <w:r w:rsidRPr="009F5BA1">
        <w:t>MTDH: Meg Traci, PhD, PI, MTDH Program Director</w:t>
      </w:r>
    </w:p>
    <w:p w:rsidR="009F5BA1" w:rsidRPr="009F5BA1" w:rsidRDefault="009F5BA1" w:rsidP="00F9158C">
      <w:pPr>
        <w:pStyle w:val="ListParagraph"/>
        <w:numPr>
          <w:ilvl w:val="0"/>
          <w:numId w:val="85"/>
        </w:numPr>
        <w:ind w:left="648"/>
      </w:pPr>
      <w:r w:rsidRPr="009F5BA1">
        <w:t xml:space="preserve">Collect and analyze CIL policies governing nursing home emancipation services. </w:t>
      </w:r>
    </w:p>
    <w:p w:rsidR="009F5BA1" w:rsidRPr="009F5BA1" w:rsidRDefault="009F5BA1" w:rsidP="00F9158C">
      <w:pPr>
        <w:pStyle w:val="ListParagraph"/>
        <w:numPr>
          <w:ilvl w:val="0"/>
          <w:numId w:val="85"/>
        </w:numPr>
        <w:ind w:left="648"/>
      </w:pPr>
      <w:r w:rsidRPr="009F5BA1">
        <w:t>Explore the role of secondary conditions and other barriers in nursing home emancipation.</w:t>
      </w:r>
    </w:p>
    <w:p w:rsidR="009F5BA1" w:rsidRPr="009F5BA1" w:rsidRDefault="009F5BA1" w:rsidP="00F9158C">
      <w:pPr>
        <w:pStyle w:val="ListParagraph"/>
        <w:numPr>
          <w:ilvl w:val="0"/>
          <w:numId w:val="85"/>
        </w:numPr>
        <w:ind w:left="648"/>
      </w:pPr>
      <w:r w:rsidRPr="009F5BA1">
        <w:t>Work with Vocational Rehabilitation Services to educate community employers about work life wellness strategies for persons with disabilities such as Health Plans for Employment</w:t>
      </w:r>
    </w:p>
    <w:p w:rsidR="009F5BA1" w:rsidRPr="009F5BA1" w:rsidRDefault="009F5BA1" w:rsidP="009F5BA1">
      <w:pPr>
        <w:rPr>
          <w:rStyle w:val="Strong"/>
        </w:rPr>
      </w:pPr>
      <w:r w:rsidRPr="009F5BA1">
        <w:rPr>
          <w:rStyle w:val="Strong"/>
        </w:rPr>
        <w:t>Objective 4C</w:t>
      </w:r>
    </w:p>
    <w:p w:rsidR="009F5BA1" w:rsidRPr="009F5BA1" w:rsidRDefault="009F5BA1" w:rsidP="009F5BA1">
      <w:pPr>
        <w:rPr>
          <w:rStyle w:val="Strong"/>
        </w:rPr>
      </w:pPr>
      <w:r w:rsidRPr="009F5BA1">
        <w:rPr>
          <w:rStyle w:val="Strong"/>
        </w:rPr>
        <w:t>Through June 30, 2012, partner with the Montana League of Cities and Towns to increase accessibility in at least 20 towns and cities across the state.</w:t>
      </w:r>
    </w:p>
    <w:p w:rsidR="005E0F08" w:rsidRPr="00023406" w:rsidRDefault="005E0F08" w:rsidP="00E87106">
      <w:pPr>
        <w:rPr>
          <w:rStyle w:val="Strong"/>
        </w:rPr>
      </w:pPr>
      <w:r w:rsidRPr="00023406">
        <w:rPr>
          <w:rStyle w:val="Strong"/>
        </w:rPr>
        <w:t>Activities</w:t>
      </w:r>
    </w:p>
    <w:p w:rsidR="005E0F08" w:rsidRPr="005E0F08" w:rsidRDefault="005E0F08" w:rsidP="00023406">
      <w:pPr>
        <w:spacing w:after="120" w:line="240" w:lineRule="auto"/>
        <w:rPr>
          <w:rFonts w:cs="Arial"/>
          <w:u w:val="single"/>
        </w:rPr>
      </w:pPr>
      <w:r w:rsidRPr="005E0F08">
        <w:rPr>
          <w:rFonts w:cs="Arial"/>
          <w:u w:val="single"/>
        </w:rPr>
        <w:t xml:space="preserve">MTDH: Tom Seekins, PhD, PI, Director, Rural Institute on Disabilities </w:t>
      </w:r>
    </w:p>
    <w:p w:rsidR="005E0F08" w:rsidRPr="00023406" w:rsidRDefault="005E0F08" w:rsidP="00F9158C">
      <w:pPr>
        <w:pStyle w:val="ListParagraph"/>
        <w:numPr>
          <w:ilvl w:val="0"/>
          <w:numId w:val="72"/>
        </w:numPr>
        <w:spacing w:after="120" w:line="240" w:lineRule="auto"/>
        <w:rPr>
          <w:rFonts w:cs="Arial"/>
        </w:rPr>
      </w:pPr>
      <w:r w:rsidRPr="00023406">
        <w:rPr>
          <w:rFonts w:cs="Arial"/>
        </w:rPr>
        <w:t>In 2012, prepare and distribute surveys for each of the 129 member municipalities to provide baseline information regarding accessibility for people with disabilities.</w:t>
      </w:r>
    </w:p>
    <w:p w:rsidR="005E0F08" w:rsidRPr="00023406" w:rsidRDefault="005E0F08" w:rsidP="00F9158C">
      <w:pPr>
        <w:pStyle w:val="ListParagraph"/>
        <w:numPr>
          <w:ilvl w:val="0"/>
          <w:numId w:val="72"/>
        </w:numPr>
        <w:spacing w:after="120" w:line="240" w:lineRule="auto"/>
        <w:rPr>
          <w:rFonts w:cs="Arial"/>
        </w:rPr>
      </w:pPr>
      <w:r w:rsidRPr="00023406">
        <w:rPr>
          <w:rFonts w:cs="Arial"/>
        </w:rPr>
        <w:t>Prepare written accessibility materials to be dispersed through the Montana League of Cities and Towns.</w:t>
      </w:r>
    </w:p>
    <w:p w:rsidR="005E0F08" w:rsidRPr="00023406" w:rsidRDefault="005E0F08" w:rsidP="00F9158C">
      <w:pPr>
        <w:pStyle w:val="ListParagraph"/>
        <w:numPr>
          <w:ilvl w:val="0"/>
          <w:numId w:val="72"/>
        </w:numPr>
        <w:spacing w:after="120" w:line="240" w:lineRule="auto"/>
        <w:rPr>
          <w:rFonts w:cs="Arial"/>
        </w:rPr>
      </w:pPr>
      <w:r w:rsidRPr="00023406">
        <w:rPr>
          <w:rFonts w:cs="Arial"/>
        </w:rPr>
        <w:t>Provide technical assistance regarding accessibility.</w:t>
      </w:r>
    </w:p>
    <w:p w:rsidR="005E0F08" w:rsidRPr="00023406" w:rsidRDefault="005E0F08" w:rsidP="00F9158C">
      <w:pPr>
        <w:pStyle w:val="ListParagraph"/>
        <w:numPr>
          <w:ilvl w:val="0"/>
          <w:numId w:val="72"/>
        </w:numPr>
        <w:spacing w:after="120" w:line="240" w:lineRule="auto"/>
        <w:rPr>
          <w:rFonts w:cs="Arial"/>
        </w:rPr>
      </w:pPr>
      <w:r w:rsidRPr="00023406">
        <w:rPr>
          <w:rFonts w:cs="Arial"/>
        </w:rPr>
        <w:t xml:space="preserve">In 2016, re-survey the member municipalities, determine progress, and publish the results. </w:t>
      </w:r>
    </w:p>
    <w:p w:rsidR="005E0F08" w:rsidRDefault="005E0F08" w:rsidP="00F9158C">
      <w:pPr>
        <w:pStyle w:val="ListParagraph"/>
        <w:numPr>
          <w:ilvl w:val="0"/>
          <w:numId w:val="72"/>
        </w:numPr>
        <w:spacing w:after="120" w:line="240" w:lineRule="auto"/>
        <w:rPr>
          <w:rFonts w:cs="Arial"/>
        </w:rPr>
      </w:pPr>
      <w:r w:rsidRPr="00023406">
        <w:rPr>
          <w:rFonts w:cs="Arial"/>
        </w:rPr>
        <w:t>Identify and publish names of businesses and services that exemplify best practices.</w:t>
      </w:r>
    </w:p>
    <w:p w:rsidR="00A05423" w:rsidRPr="00A05423" w:rsidRDefault="00A05423" w:rsidP="00A05423">
      <w:pPr>
        <w:spacing w:after="120" w:line="240" w:lineRule="auto"/>
        <w:rPr>
          <w:rStyle w:val="Strong"/>
        </w:rPr>
      </w:pPr>
      <w:r w:rsidRPr="00A05423">
        <w:rPr>
          <w:rStyle w:val="Strong"/>
        </w:rPr>
        <w:t>Objective 4D</w:t>
      </w:r>
    </w:p>
    <w:p w:rsidR="00A05423" w:rsidRPr="00A05423" w:rsidRDefault="00A05423" w:rsidP="00A05423">
      <w:pPr>
        <w:spacing w:after="120" w:line="240" w:lineRule="auto"/>
        <w:rPr>
          <w:rStyle w:val="Strong"/>
        </w:rPr>
      </w:pPr>
      <w:r w:rsidRPr="00A05423">
        <w:rPr>
          <w:rStyle w:val="Strong"/>
        </w:rPr>
        <w:t xml:space="preserve">By June 30, 2015, the MTDH Program will expand the capacity of the Montana Association of Realtors (MAR), the Montana Building Industry Association (MBIA), and the Montana Home Choice Coalition (MHCC) to increase the number of visitable homes in </w:t>
      </w:r>
      <w:r w:rsidRPr="00A05423">
        <w:rPr>
          <w:rStyle w:val="Strong"/>
        </w:rPr>
        <w:lastRenderedPageBreak/>
        <w:t xml:space="preserve">Montana from 19.3% to 24% as measured by the Montana Behavioral Risk Factor Surveillance System (BRFSS).  </w:t>
      </w:r>
    </w:p>
    <w:p w:rsidR="00C46D8E" w:rsidRPr="00023406" w:rsidRDefault="00C46D8E" w:rsidP="00023406">
      <w:pPr>
        <w:rPr>
          <w:rStyle w:val="Strong"/>
        </w:rPr>
      </w:pPr>
      <w:r w:rsidRPr="00023406">
        <w:rPr>
          <w:rStyle w:val="Strong"/>
        </w:rPr>
        <w:t>Activities</w:t>
      </w:r>
    </w:p>
    <w:p w:rsidR="00C46D8E" w:rsidRPr="00C46D8E" w:rsidRDefault="00C46D8E" w:rsidP="00023406">
      <w:pPr>
        <w:spacing w:after="120"/>
        <w:rPr>
          <w:rFonts w:cs="Arial"/>
        </w:rPr>
      </w:pPr>
      <w:r w:rsidRPr="00C46D8E">
        <w:rPr>
          <w:rFonts w:cs="Arial"/>
          <w:u w:val="single"/>
        </w:rPr>
        <w:t xml:space="preserve">MTDH: Meg Traci, PhD, PI, MTDH Program Director </w:t>
      </w:r>
    </w:p>
    <w:p w:rsidR="00C46D8E" w:rsidRPr="00023406" w:rsidRDefault="00C46D8E" w:rsidP="00F9158C">
      <w:pPr>
        <w:pStyle w:val="ListParagraph"/>
        <w:numPr>
          <w:ilvl w:val="0"/>
          <w:numId w:val="73"/>
        </w:numPr>
        <w:rPr>
          <w:szCs w:val="22"/>
        </w:rPr>
      </w:pPr>
      <w:r w:rsidRPr="00C46D8E">
        <w:t>Partner with Montana CILs to provide visitability awareness trainings.</w:t>
      </w:r>
    </w:p>
    <w:p w:rsidR="00C46D8E" w:rsidRPr="00023406" w:rsidRDefault="00C46D8E" w:rsidP="00F9158C">
      <w:pPr>
        <w:pStyle w:val="ListParagraph"/>
        <w:numPr>
          <w:ilvl w:val="0"/>
          <w:numId w:val="73"/>
        </w:numPr>
        <w:rPr>
          <w:rStyle w:val="style501"/>
          <w:rFonts w:cs="Arial"/>
          <w:szCs w:val="22"/>
        </w:rPr>
      </w:pPr>
      <w:r w:rsidRPr="00C46D8E">
        <w:t xml:space="preserve">Support </w:t>
      </w:r>
      <w:r w:rsidRPr="00023406">
        <w:rPr>
          <w:rStyle w:val="style501"/>
          <w:rFonts w:cs="Arial"/>
          <w:szCs w:val="22"/>
        </w:rPr>
        <w:t xml:space="preserve">the AWARE </w:t>
      </w:r>
      <w:r w:rsidRPr="00023406">
        <w:rPr>
          <w:rStyle w:val="style501"/>
          <w:rFonts w:cs="Arial"/>
          <w:i/>
          <w:szCs w:val="22"/>
        </w:rPr>
        <w:t>Montana Home Choice Coalition</w:t>
      </w:r>
      <w:r w:rsidRPr="00023406">
        <w:rPr>
          <w:rStyle w:val="style501"/>
          <w:rFonts w:cs="Arial"/>
          <w:szCs w:val="22"/>
        </w:rPr>
        <w:t xml:space="preserve"> </w:t>
      </w:r>
      <w:r w:rsidRPr="00023406">
        <w:rPr>
          <w:rStyle w:val="googqs-tidbit1"/>
          <w:rFonts w:cs="Arial"/>
          <w:color w:val="000000"/>
          <w:szCs w:val="22"/>
          <w:specVanish w:val="0"/>
        </w:rPr>
        <w:t>in creating accessible, community-</w:t>
      </w:r>
      <w:r w:rsidRPr="00023406">
        <w:rPr>
          <w:rStyle w:val="style501"/>
          <w:rFonts w:cs="Arial"/>
          <w:szCs w:val="22"/>
        </w:rPr>
        <w:t xml:space="preserve"> integrated housing choices for persons with disabilities across the age and ability spectrum. </w:t>
      </w:r>
    </w:p>
    <w:p w:rsidR="00C46D8E" w:rsidRPr="00023406" w:rsidRDefault="00C46D8E" w:rsidP="00F9158C">
      <w:pPr>
        <w:pStyle w:val="ListParagraph"/>
        <w:numPr>
          <w:ilvl w:val="0"/>
          <w:numId w:val="73"/>
        </w:numPr>
      </w:pPr>
      <w:r w:rsidRPr="00C46D8E">
        <w:t>Form recommendations to increase the proportion of visitable homes in the state.</w:t>
      </w:r>
    </w:p>
    <w:p w:rsidR="00C46D8E" w:rsidRPr="00023406" w:rsidRDefault="00C46D8E" w:rsidP="00F9158C">
      <w:pPr>
        <w:pStyle w:val="ListParagraph"/>
        <w:numPr>
          <w:ilvl w:val="0"/>
          <w:numId w:val="73"/>
        </w:numPr>
        <w:rPr>
          <w:rStyle w:val="style501"/>
          <w:rFonts w:cs="Arial"/>
          <w:szCs w:val="22"/>
        </w:rPr>
      </w:pPr>
      <w:r w:rsidRPr="00023406">
        <w:rPr>
          <w:rStyle w:val="style501"/>
          <w:rFonts w:cs="Arial"/>
          <w:szCs w:val="22"/>
        </w:rPr>
        <w:t>Continue to work with the Montana Building Industry Association to provide input regarding universal design and visitability.</w:t>
      </w:r>
    </w:p>
    <w:p w:rsidR="00C46D8E" w:rsidRPr="00023406" w:rsidRDefault="00C46D8E" w:rsidP="00F9158C">
      <w:pPr>
        <w:pStyle w:val="ListParagraph"/>
        <w:numPr>
          <w:ilvl w:val="0"/>
          <w:numId w:val="73"/>
        </w:numPr>
        <w:rPr>
          <w:rStyle w:val="Strong"/>
          <w:rFonts w:cs="Arial"/>
          <w:b w:val="0"/>
          <w:bCs w:val="0"/>
          <w:color w:val="auto"/>
          <w:szCs w:val="22"/>
        </w:rPr>
      </w:pPr>
      <w:r w:rsidRPr="00023406">
        <w:rPr>
          <w:rStyle w:val="style501"/>
          <w:rFonts w:cs="Arial"/>
          <w:szCs w:val="22"/>
        </w:rPr>
        <w:t xml:space="preserve">Provide input to the 5-year </w:t>
      </w:r>
      <w:r w:rsidRPr="00023406">
        <w:rPr>
          <w:rStyle w:val="style501"/>
          <w:rFonts w:cs="Arial"/>
          <w:i/>
          <w:szCs w:val="22"/>
        </w:rPr>
        <w:t>Montana Housing Consolidation Plan</w:t>
      </w:r>
      <w:r w:rsidRPr="00023406">
        <w:rPr>
          <w:rStyle w:val="style501"/>
          <w:rFonts w:cs="Arial"/>
          <w:szCs w:val="22"/>
        </w:rPr>
        <w:t xml:space="preserve"> that addresses </w:t>
      </w:r>
      <w:r w:rsidRPr="00023406">
        <w:rPr>
          <w:color w:val="000000"/>
        </w:rPr>
        <w:t xml:space="preserve">issues related to </w:t>
      </w:r>
      <w:r w:rsidRPr="00023406">
        <w:rPr>
          <w:rStyle w:val="Strong"/>
          <w:rFonts w:cs="Arial"/>
          <w:b w:val="0"/>
          <w:color w:val="000000"/>
          <w:szCs w:val="22"/>
        </w:rPr>
        <w:t>affordable housing, homelessness, infrastructure, public facilities, economic development, and other community development needs.</w:t>
      </w:r>
    </w:p>
    <w:p w:rsidR="00C46D8E" w:rsidRPr="00023406" w:rsidRDefault="00C46D8E" w:rsidP="00F9158C">
      <w:pPr>
        <w:pStyle w:val="ListParagraph"/>
        <w:numPr>
          <w:ilvl w:val="0"/>
          <w:numId w:val="73"/>
        </w:numPr>
        <w:rPr>
          <w:rStyle w:val="style501"/>
          <w:rFonts w:cs="Arial"/>
          <w:szCs w:val="22"/>
        </w:rPr>
      </w:pPr>
      <w:r w:rsidRPr="00023406">
        <w:rPr>
          <w:rStyle w:val="Strong"/>
          <w:rFonts w:cs="Arial"/>
          <w:b w:val="0"/>
          <w:color w:val="000000"/>
          <w:szCs w:val="22"/>
        </w:rPr>
        <w:t xml:space="preserve">Support the Statewide Independent Living Council (SILC) </w:t>
      </w:r>
      <w:r w:rsidRPr="00023406">
        <w:rPr>
          <w:rStyle w:val="Strong"/>
          <w:rFonts w:cs="Arial"/>
          <w:b w:val="0"/>
          <w:i/>
          <w:color w:val="000000"/>
          <w:szCs w:val="22"/>
        </w:rPr>
        <w:t>Housing Task Force</w:t>
      </w:r>
      <w:r w:rsidRPr="00023406">
        <w:rPr>
          <w:rStyle w:val="Strong"/>
          <w:rFonts w:cs="Arial"/>
          <w:b w:val="0"/>
          <w:color w:val="000000"/>
          <w:szCs w:val="22"/>
        </w:rPr>
        <w:t>.</w:t>
      </w:r>
    </w:p>
    <w:p w:rsidR="00C46D8E" w:rsidRPr="00023406" w:rsidRDefault="00C46D8E" w:rsidP="00F9158C">
      <w:pPr>
        <w:pStyle w:val="ListParagraph"/>
        <w:numPr>
          <w:ilvl w:val="0"/>
          <w:numId w:val="73"/>
        </w:numPr>
        <w:rPr>
          <w:szCs w:val="22"/>
        </w:rPr>
      </w:pPr>
      <w:r w:rsidRPr="00C46D8E">
        <w:t xml:space="preserve">Collect, analyze and disseminate BRFSS data regarding the number of visitable homes in the state. </w:t>
      </w:r>
    </w:p>
    <w:p w:rsidR="00C46D8E" w:rsidRPr="00023406" w:rsidRDefault="00C46D8E" w:rsidP="00F9158C">
      <w:pPr>
        <w:pStyle w:val="ListParagraph"/>
        <w:numPr>
          <w:ilvl w:val="0"/>
          <w:numId w:val="73"/>
        </w:numPr>
        <w:rPr>
          <w:szCs w:val="22"/>
        </w:rPr>
      </w:pPr>
      <w:r w:rsidRPr="00C46D8E">
        <w:t>Work with the Montana legislature to develop and evaluate a system of state tax incentives for building modifications to improve visitability.</w:t>
      </w:r>
    </w:p>
    <w:p w:rsidR="00C46D8E" w:rsidRPr="00023406" w:rsidRDefault="00C46D8E" w:rsidP="00F9158C">
      <w:pPr>
        <w:pStyle w:val="ListParagraph"/>
        <w:numPr>
          <w:ilvl w:val="0"/>
          <w:numId w:val="73"/>
        </w:numPr>
        <w:rPr>
          <w:b/>
          <w:i/>
          <w:szCs w:val="22"/>
        </w:rPr>
      </w:pPr>
      <w:r w:rsidRPr="00C46D8E">
        <w:t>Encourage policy makers and licensing agencies to add visitability items to licensing tests for architects and builders.</w:t>
      </w:r>
    </w:p>
    <w:p w:rsidR="00C46D8E" w:rsidRPr="00C46D8E" w:rsidRDefault="00C46D8E" w:rsidP="00F9158C">
      <w:pPr>
        <w:pStyle w:val="ListParagraph"/>
        <w:numPr>
          <w:ilvl w:val="0"/>
          <w:numId w:val="73"/>
        </w:numPr>
      </w:pPr>
      <w:r w:rsidRPr="00C46D8E">
        <w:t xml:space="preserve">Remain active members of the </w:t>
      </w:r>
      <w:r w:rsidRPr="00023406">
        <w:rPr>
          <w:i/>
        </w:rPr>
        <w:t>Task Force on Epidemiology, Surveillance, and Evaluation</w:t>
      </w:r>
      <w:r w:rsidRPr="00C46D8E">
        <w:t xml:space="preserve"> to meet surveillance and evaluation needs specified in the cooperative agreement and MTDH State Plan. </w:t>
      </w:r>
    </w:p>
    <w:p w:rsidR="00C46D8E" w:rsidRPr="00C46D8E" w:rsidRDefault="00C46D8E" w:rsidP="00F9158C">
      <w:pPr>
        <w:pStyle w:val="ListParagraph"/>
        <w:numPr>
          <w:ilvl w:val="0"/>
          <w:numId w:val="73"/>
        </w:numPr>
      </w:pPr>
      <w:r w:rsidRPr="00C46D8E">
        <w:t xml:space="preserve">Update the percentage of Montana’s private residences that are visitable (baseline of </w:t>
      </w:r>
      <w:r w:rsidRPr="00023406">
        <w:rPr>
          <w:b/>
        </w:rPr>
        <w:t>19.3%</w:t>
      </w:r>
      <w:r w:rsidRPr="00C46D8E">
        <w:t xml:space="preserve"> established in 2004 through a Montana BRFSS questionnaire). </w:t>
      </w:r>
      <w:r w:rsidRPr="00023406">
        <w:rPr>
          <w:rFonts w:eastAsia="Times New Roman"/>
          <w:color w:val="000000"/>
        </w:rPr>
        <w:t xml:space="preserve">While results were similar for </w:t>
      </w:r>
      <w:r w:rsidRPr="00023406">
        <w:rPr>
          <w:rFonts w:eastAsia="Times New Roman"/>
        </w:rPr>
        <w:t xml:space="preserve">most sub-populations, people who were older or who reported using special equipment were more likely to report living in a visitable home. Respondents with a disability who reported living in a visitable home were less likely to report any days of poor mental health in the past month than those who did </w:t>
      </w:r>
      <w:r w:rsidRPr="00023406">
        <w:rPr>
          <w:rFonts w:eastAsia="Times New Roman"/>
          <w:i/>
        </w:rPr>
        <w:t>not</w:t>
      </w:r>
      <w:r w:rsidRPr="00023406">
        <w:rPr>
          <w:rFonts w:eastAsia="Times New Roman"/>
        </w:rPr>
        <w:t xml:space="preserve"> live in a visitable house (Traci, Seekins, Oreskovich, &amp; Cummings, 2007). </w:t>
      </w:r>
    </w:p>
    <w:p w:rsidR="00625FF6" w:rsidRPr="00023406" w:rsidRDefault="00582E4C" w:rsidP="00023406">
      <w:pPr>
        <w:pStyle w:val="Heading3"/>
      </w:pPr>
      <w:bookmarkStart w:id="42" w:name="_Toc403370696"/>
      <w:r w:rsidRPr="00582E4C">
        <w:t>Outcome Goal Five: Integrate Disability and Health Agenda</w:t>
      </w:r>
      <w:bookmarkEnd w:id="42"/>
    </w:p>
    <w:p w:rsidR="00625FF6" w:rsidRPr="00DE3A11" w:rsidRDefault="00625FF6" w:rsidP="00625FF6">
      <w:pPr>
        <w:spacing w:after="0"/>
        <w:rPr>
          <w:rFonts w:cs="Arial"/>
        </w:rPr>
      </w:pPr>
      <w:r w:rsidRPr="00DE3A11">
        <w:rPr>
          <w:rFonts w:cs="Arial"/>
        </w:rPr>
        <w:t xml:space="preserve"> “Insufficient evidence exists regarding effectiveness of particular interventions in reducing specific disparities among certain defined populations. To fill this gap in evidence of programmatic effectiveness, the </w:t>
      </w:r>
      <w:r w:rsidRPr="00DE3A11">
        <w:rPr>
          <w:rFonts w:cs="Arial"/>
          <w:i/>
        </w:rPr>
        <w:t>Task Force on Community Preventive Services</w:t>
      </w:r>
      <w:r w:rsidRPr="00DE3A11">
        <w:rPr>
          <w:rFonts w:cs="Arial"/>
        </w:rPr>
        <w:t xml:space="preserve"> recently embarked on a series of systematic reviews of interventions that might help reduce disparities.  However, until more evidence of effectiveness is available, certain actions are prudent in support of efforts to reduce health disparities and their antecedents in the United States. Such actions include:</w:t>
      </w:r>
    </w:p>
    <w:p w:rsidR="00625FF6" w:rsidRPr="00023406" w:rsidRDefault="00625FF6" w:rsidP="00F9158C">
      <w:pPr>
        <w:pStyle w:val="ListParagraph"/>
        <w:numPr>
          <w:ilvl w:val="0"/>
          <w:numId w:val="74"/>
        </w:numPr>
        <w:rPr>
          <w:szCs w:val="22"/>
        </w:rPr>
      </w:pPr>
      <w:r w:rsidRPr="00023406">
        <w:t>Increasing community awareness of disparities as problems with solutions;</w:t>
      </w:r>
    </w:p>
    <w:p w:rsidR="00625FF6" w:rsidRPr="00023406" w:rsidRDefault="00625FF6" w:rsidP="00F9158C">
      <w:pPr>
        <w:pStyle w:val="ListParagraph"/>
        <w:numPr>
          <w:ilvl w:val="0"/>
          <w:numId w:val="74"/>
        </w:numPr>
        <w:rPr>
          <w:szCs w:val="22"/>
        </w:rPr>
      </w:pPr>
      <w:r w:rsidRPr="00023406">
        <w:lastRenderedPageBreak/>
        <w:t xml:space="preserve">Setting priorities among disparities to be addressed at the federal, state, tribal, and local levels; </w:t>
      </w:r>
    </w:p>
    <w:p w:rsidR="00625FF6" w:rsidRPr="00023406" w:rsidRDefault="00625FF6" w:rsidP="00F9158C">
      <w:pPr>
        <w:pStyle w:val="ListParagraph"/>
        <w:numPr>
          <w:ilvl w:val="0"/>
          <w:numId w:val="74"/>
        </w:numPr>
        <w:rPr>
          <w:szCs w:val="22"/>
        </w:rPr>
      </w:pPr>
      <w:r w:rsidRPr="00023406">
        <w:t>Articulating  valid reasons to expend resources to reduce and ultimately eliminate priority disparities;</w:t>
      </w:r>
    </w:p>
    <w:p w:rsidR="00625FF6" w:rsidRPr="00023406" w:rsidRDefault="00625FF6" w:rsidP="00F9158C">
      <w:pPr>
        <w:pStyle w:val="ListParagraph"/>
        <w:numPr>
          <w:ilvl w:val="0"/>
          <w:numId w:val="74"/>
        </w:numPr>
        <w:rPr>
          <w:szCs w:val="22"/>
        </w:rPr>
      </w:pPr>
      <w:r w:rsidRPr="00023406">
        <w:t xml:space="preserve">Implementing dual strategy of universal and targeted intervention programs on the basis of lessons learned from success  in reducing selected disparities (e.g., racial/ethnic disparities in measles vaccination coverage); and </w:t>
      </w:r>
    </w:p>
    <w:p w:rsidR="00625FF6" w:rsidRDefault="00625FF6" w:rsidP="00F9158C">
      <w:pPr>
        <w:pStyle w:val="ListParagraph"/>
        <w:numPr>
          <w:ilvl w:val="0"/>
          <w:numId w:val="74"/>
        </w:numPr>
      </w:pPr>
      <w:r w:rsidRPr="00023406">
        <w:t>Aiming to achieve a faster rate of improvement among disadvantaged groups by allocating resources in proportion to need and a commitment to closing modifiable gaps in health, longevity, and quality of life among all segments of the U.S. population.”</w:t>
      </w:r>
      <w:r w:rsidRPr="00DE3A11">
        <w:rPr>
          <w:rStyle w:val="FootnoteReference"/>
          <w:rFonts w:cs="Arial"/>
          <w:szCs w:val="22"/>
        </w:rPr>
        <w:footnoteReference w:id="88"/>
      </w:r>
    </w:p>
    <w:p w:rsidR="00A05423" w:rsidRPr="00A05423" w:rsidRDefault="00A05423" w:rsidP="00A05423">
      <w:pPr>
        <w:rPr>
          <w:rStyle w:val="Strong"/>
        </w:rPr>
      </w:pPr>
      <w:r w:rsidRPr="00A05423">
        <w:rPr>
          <w:rStyle w:val="Strong"/>
        </w:rPr>
        <w:t>Objective 5A</w:t>
      </w:r>
    </w:p>
    <w:p w:rsidR="00A05423" w:rsidRPr="00A05423" w:rsidRDefault="00A05423" w:rsidP="00A05423">
      <w:pPr>
        <w:rPr>
          <w:rStyle w:val="Strong"/>
        </w:rPr>
      </w:pPr>
      <w:r w:rsidRPr="00A05423">
        <w:rPr>
          <w:rStyle w:val="Strong"/>
        </w:rPr>
        <w:t>By June 30, 2015, the MTDH program will assist MDPHHS in implementing 10 evidence-based and / or practice-based programs designed to improve health and wellness for people with disabilities.</w:t>
      </w:r>
    </w:p>
    <w:p w:rsidR="00625FF6" w:rsidRDefault="00625FF6" w:rsidP="00625FF6">
      <w:pPr>
        <w:spacing w:after="0"/>
        <w:ind w:left="720" w:hanging="360"/>
        <w:rPr>
          <w:sz w:val="4"/>
          <w:szCs w:val="4"/>
        </w:rPr>
      </w:pPr>
    </w:p>
    <w:p w:rsidR="00625FF6" w:rsidRDefault="00625FF6" w:rsidP="00625FF6">
      <w:pPr>
        <w:spacing w:after="0"/>
        <w:ind w:left="720" w:hanging="360"/>
        <w:rPr>
          <w:sz w:val="2"/>
          <w:szCs w:val="2"/>
        </w:rPr>
      </w:pPr>
    </w:p>
    <w:p w:rsidR="00625FF6" w:rsidRPr="00023406" w:rsidRDefault="00625FF6" w:rsidP="00023406">
      <w:pPr>
        <w:rPr>
          <w:rStyle w:val="Strong"/>
        </w:rPr>
      </w:pPr>
      <w:r w:rsidRPr="00023406">
        <w:rPr>
          <w:rStyle w:val="Strong"/>
        </w:rPr>
        <w:t xml:space="preserve">Activities </w:t>
      </w:r>
    </w:p>
    <w:p w:rsidR="00625FF6" w:rsidRDefault="00625FF6" w:rsidP="00023406">
      <w:pPr>
        <w:spacing w:after="60"/>
        <w:rPr>
          <w:rFonts w:cs="Arial"/>
          <w:u w:val="single"/>
        </w:rPr>
      </w:pPr>
      <w:r w:rsidRPr="00D0054C">
        <w:rPr>
          <w:rFonts w:cs="Arial"/>
          <w:u w:val="single"/>
        </w:rPr>
        <w:t>MTDH: Meg Traci, PhD, PI, MTDH Program Director</w:t>
      </w:r>
    </w:p>
    <w:p w:rsidR="00625FF6" w:rsidRPr="00D0054C" w:rsidRDefault="00625FF6" w:rsidP="00625FF6">
      <w:pPr>
        <w:spacing w:after="60"/>
        <w:ind w:firstLine="360"/>
        <w:rPr>
          <w:rFonts w:cs="Arial"/>
          <w:sz w:val="8"/>
          <w:szCs w:val="8"/>
          <w:u w:val="single"/>
        </w:rPr>
      </w:pPr>
    </w:p>
    <w:p w:rsidR="00625FF6" w:rsidRPr="00023406" w:rsidRDefault="00625FF6" w:rsidP="00F9158C">
      <w:pPr>
        <w:pStyle w:val="ListParagraph"/>
        <w:numPr>
          <w:ilvl w:val="0"/>
          <w:numId w:val="75"/>
        </w:numPr>
        <w:rPr>
          <w:szCs w:val="22"/>
        </w:rPr>
      </w:pPr>
      <w:r w:rsidRPr="00D0054C">
        <w:t xml:space="preserve">Recruit </w:t>
      </w:r>
      <w:r>
        <w:t>additional</w:t>
      </w:r>
      <w:r w:rsidRPr="00D0054C">
        <w:t xml:space="preserve"> Disability Advisors to build the confidence to serve PWD and to exemplify/ encourage healthy lifestyles for</w:t>
      </w:r>
      <w:r>
        <w:t xml:space="preserve"> </w:t>
      </w:r>
      <w:r w:rsidRPr="00D0054C">
        <w:t>PWD.</w:t>
      </w:r>
    </w:p>
    <w:p w:rsidR="00625FF6" w:rsidRPr="00023406" w:rsidRDefault="00625FF6" w:rsidP="00F9158C">
      <w:pPr>
        <w:pStyle w:val="ListParagraph"/>
        <w:numPr>
          <w:ilvl w:val="0"/>
          <w:numId w:val="75"/>
        </w:numPr>
        <w:rPr>
          <w:szCs w:val="22"/>
        </w:rPr>
      </w:pPr>
      <w:r w:rsidRPr="00D0054C">
        <w:t xml:space="preserve">Continue to monitor priority health issues in the state for </w:t>
      </w:r>
      <w:r w:rsidRPr="00023406">
        <w:rPr>
          <w:i/>
        </w:rPr>
        <w:t xml:space="preserve">all </w:t>
      </w:r>
      <w:r w:rsidRPr="00D0054C">
        <w:t>children and</w:t>
      </w:r>
      <w:r w:rsidRPr="00023406">
        <w:rPr>
          <w:i/>
        </w:rPr>
        <w:t xml:space="preserve"> </w:t>
      </w:r>
      <w:r w:rsidR="00023406">
        <w:t xml:space="preserve">adults in Montana. </w:t>
      </w:r>
    </w:p>
    <w:p w:rsidR="00625FF6" w:rsidRPr="00023406" w:rsidRDefault="00625FF6" w:rsidP="00F9158C">
      <w:pPr>
        <w:pStyle w:val="ListParagraph"/>
        <w:numPr>
          <w:ilvl w:val="0"/>
          <w:numId w:val="75"/>
        </w:numPr>
        <w:rPr>
          <w:szCs w:val="22"/>
        </w:rPr>
      </w:pPr>
      <w:r w:rsidRPr="00D0054C">
        <w:t>Build competency of partners to deliver program</w:t>
      </w:r>
      <w:r w:rsidR="00023406">
        <w:t>s to persons with disabilities.</w:t>
      </w:r>
    </w:p>
    <w:p w:rsidR="00625FF6" w:rsidRPr="00D0054C" w:rsidRDefault="00625FF6" w:rsidP="00F9158C">
      <w:pPr>
        <w:pStyle w:val="ListParagraph"/>
        <w:numPr>
          <w:ilvl w:val="0"/>
          <w:numId w:val="75"/>
        </w:numPr>
      </w:pPr>
      <w:r w:rsidRPr="00D0054C">
        <w:t>Assess the accessibility of venues and resources provided through the program.</w:t>
      </w:r>
    </w:p>
    <w:p w:rsidR="00625FF6" w:rsidRPr="00D0054C" w:rsidRDefault="00625FF6" w:rsidP="00625FF6">
      <w:pPr>
        <w:pStyle w:val="ListParagraph"/>
        <w:numPr>
          <w:ilvl w:val="0"/>
          <w:numId w:val="0"/>
        </w:numPr>
        <w:spacing w:after="180" w:line="240" w:lineRule="auto"/>
        <w:ind w:left="1080"/>
        <w:outlineLvl w:val="9"/>
        <w:rPr>
          <w:rFonts w:cs="Arial"/>
          <w:szCs w:val="22"/>
        </w:rPr>
      </w:pPr>
    </w:p>
    <w:p w:rsidR="00625FF6" w:rsidRPr="00D0054C" w:rsidRDefault="00625FF6" w:rsidP="00023406">
      <w:pPr>
        <w:spacing w:after="60"/>
        <w:rPr>
          <w:rFonts w:eastAsia="Times New Roman" w:cs="Arial"/>
          <w:u w:val="single"/>
        </w:rPr>
      </w:pPr>
      <w:r w:rsidRPr="00D0054C">
        <w:rPr>
          <w:rFonts w:eastAsia="Times New Roman" w:cs="Arial"/>
          <w:u w:val="single"/>
        </w:rPr>
        <w:t>MDPHHS: Joanne Oreskovich, PhD, BRFSS Program Manager</w:t>
      </w:r>
    </w:p>
    <w:p w:rsidR="00625FF6" w:rsidRPr="00023406" w:rsidRDefault="00625FF6" w:rsidP="00F9158C">
      <w:pPr>
        <w:pStyle w:val="ListParagraph"/>
        <w:numPr>
          <w:ilvl w:val="0"/>
          <w:numId w:val="76"/>
        </w:numPr>
        <w:rPr>
          <w:rFonts w:eastAsia="Times New Roman"/>
        </w:rPr>
      </w:pPr>
      <w:r w:rsidRPr="00023406">
        <w:rPr>
          <w:rFonts w:eastAsia="Times New Roman"/>
        </w:rPr>
        <w:t>Provide quarterly BRFSS reports on priority health issues.</w:t>
      </w:r>
    </w:p>
    <w:p w:rsidR="00625FF6" w:rsidRDefault="00625FF6" w:rsidP="00F9158C">
      <w:pPr>
        <w:pStyle w:val="ListParagraph"/>
        <w:numPr>
          <w:ilvl w:val="0"/>
          <w:numId w:val="76"/>
        </w:numPr>
        <w:rPr>
          <w:rFonts w:eastAsia="Times New Roman"/>
        </w:rPr>
      </w:pPr>
      <w:r w:rsidRPr="00023406">
        <w:rPr>
          <w:rFonts w:eastAsia="Times New Roman"/>
        </w:rPr>
        <w:t>In collaboration with MTDH staff, provide special reports on topics of particular concern.</w:t>
      </w:r>
    </w:p>
    <w:p w:rsidR="00A05423" w:rsidRPr="00967FF1" w:rsidRDefault="00A05423" w:rsidP="00A05423">
      <w:pPr>
        <w:rPr>
          <w:rStyle w:val="Strong"/>
        </w:rPr>
      </w:pPr>
      <w:r w:rsidRPr="00967FF1">
        <w:rPr>
          <w:rStyle w:val="Strong"/>
        </w:rPr>
        <w:t>Objective 5B</w:t>
      </w:r>
    </w:p>
    <w:p w:rsidR="00A05423" w:rsidRPr="00967FF1" w:rsidRDefault="00A05423" w:rsidP="00A05423">
      <w:pPr>
        <w:rPr>
          <w:rStyle w:val="Strong"/>
        </w:rPr>
      </w:pPr>
      <w:r w:rsidRPr="00967FF1">
        <w:rPr>
          <w:rStyle w:val="Strong"/>
        </w:rPr>
        <w:t>Through June 30, 2015, the MTDH Program, in partnership with the Chronic Disease Prevention and Health Promotion Bureau of MDPHHS, will continue to:</w:t>
      </w:r>
    </w:p>
    <w:p w:rsidR="00A05423" w:rsidRPr="00967FF1" w:rsidRDefault="00A05423" w:rsidP="00F9158C">
      <w:pPr>
        <w:pStyle w:val="ListParagraph"/>
        <w:numPr>
          <w:ilvl w:val="0"/>
          <w:numId w:val="83"/>
        </w:numPr>
        <w:rPr>
          <w:rStyle w:val="Strong"/>
        </w:rPr>
      </w:pPr>
      <w:r w:rsidRPr="00967FF1">
        <w:rPr>
          <w:rStyle w:val="Strong"/>
        </w:rPr>
        <w:t>Inform people with disabilities (PWD) and the general public about risk factors for and symptoms of arthritis, diabetes, high blood pressure, high blood cholesterol, cardio-vascular disease, and asthma; and</w:t>
      </w:r>
    </w:p>
    <w:p w:rsidR="00A05423" w:rsidRPr="00967FF1" w:rsidRDefault="00A05423" w:rsidP="00F9158C">
      <w:pPr>
        <w:pStyle w:val="ListParagraph"/>
        <w:numPr>
          <w:ilvl w:val="0"/>
          <w:numId w:val="83"/>
        </w:numPr>
        <w:rPr>
          <w:rStyle w:val="Strong"/>
        </w:rPr>
      </w:pPr>
      <w:r w:rsidRPr="00967FF1">
        <w:rPr>
          <w:rStyle w:val="Strong"/>
        </w:rPr>
        <w:t>Encourage all Montanans to adopt healthy behaviors including diet, exercise, social networks, and regular medical check-ups.</w:t>
      </w:r>
    </w:p>
    <w:p w:rsidR="00625FF6" w:rsidRPr="00023406" w:rsidRDefault="00625FF6" w:rsidP="00023406">
      <w:pPr>
        <w:rPr>
          <w:rStyle w:val="Strong"/>
        </w:rPr>
      </w:pPr>
      <w:r w:rsidRPr="00023406">
        <w:rPr>
          <w:rStyle w:val="Strong"/>
        </w:rPr>
        <w:t xml:space="preserve">Activities </w:t>
      </w:r>
    </w:p>
    <w:p w:rsidR="00625FF6" w:rsidRDefault="00625FF6" w:rsidP="00023406">
      <w:pPr>
        <w:spacing w:after="60"/>
        <w:rPr>
          <w:rFonts w:cs="Arial"/>
          <w:u w:val="single"/>
        </w:rPr>
      </w:pPr>
      <w:r w:rsidRPr="00B51383">
        <w:rPr>
          <w:rFonts w:cs="Arial"/>
          <w:u w:val="single"/>
        </w:rPr>
        <w:lastRenderedPageBreak/>
        <w:t>MTDH: Meg Traci, PhD, PI, MTDH Program Director</w:t>
      </w:r>
    </w:p>
    <w:p w:rsidR="00625FF6" w:rsidRPr="00023406" w:rsidRDefault="00625FF6" w:rsidP="00F9158C">
      <w:pPr>
        <w:pStyle w:val="ListParagraph"/>
        <w:numPr>
          <w:ilvl w:val="0"/>
          <w:numId w:val="77"/>
        </w:numPr>
        <w:rPr>
          <w:szCs w:val="22"/>
        </w:rPr>
      </w:pPr>
      <w:r w:rsidRPr="00B51383">
        <w:t xml:space="preserve">Recruit </w:t>
      </w:r>
      <w:r>
        <w:t>additional</w:t>
      </w:r>
      <w:r w:rsidRPr="00B51383">
        <w:t xml:space="preserve"> Disability Advisors to build the confidence to serve PWD and to exemplify</w:t>
      </w:r>
      <w:r>
        <w:t xml:space="preserve"> </w:t>
      </w:r>
      <w:r w:rsidRPr="00B51383">
        <w:t>/ encourage healthy lifestyles for. PWD.</w:t>
      </w:r>
    </w:p>
    <w:p w:rsidR="00625FF6" w:rsidRPr="00023406" w:rsidRDefault="00625FF6" w:rsidP="00F9158C">
      <w:pPr>
        <w:pStyle w:val="ListParagraph"/>
        <w:numPr>
          <w:ilvl w:val="0"/>
          <w:numId w:val="77"/>
        </w:numPr>
        <w:rPr>
          <w:szCs w:val="22"/>
        </w:rPr>
      </w:pPr>
      <w:r w:rsidRPr="00B51383">
        <w:t xml:space="preserve">Continue to monitor priority health issues in the state for </w:t>
      </w:r>
      <w:r w:rsidRPr="00023406">
        <w:rPr>
          <w:i/>
        </w:rPr>
        <w:t xml:space="preserve">all </w:t>
      </w:r>
      <w:r w:rsidRPr="00B51383">
        <w:t>children and</w:t>
      </w:r>
      <w:r w:rsidRPr="00023406">
        <w:rPr>
          <w:i/>
        </w:rPr>
        <w:t xml:space="preserve"> </w:t>
      </w:r>
      <w:r w:rsidRPr="00B51383">
        <w:t>adults in Monta</w:t>
      </w:r>
      <w:r w:rsidR="00023406">
        <w:t xml:space="preserve">na. </w:t>
      </w:r>
    </w:p>
    <w:p w:rsidR="00625FF6" w:rsidRPr="00023406" w:rsidRDefault="00625FF6" w:rsidP="00F9158C">
      <w:pPr>
        <w:pStyle w:val="ListParagraph"/>
        <w:numPr>
          <w:ilvl w:val="0"/>
          <w:numId w:val="77"/>
        </w:numPr>
        <w:rPr>
          <w:szCs w:val="22"/>
        </w:rPr>
      </w:pPr>
      <w:r w:rsidRPr="00B51383">
        <w:t>Build competency of partners to deliver program</w:t>
      </w:r>
      <w:r w:rsidR="00023406">
        <w:t>s to persons with disabilities.</w:t>
      </w:r>
    </w:p>
    <w:p w:rsidR="00625FF6" w:rsidRPr="00023406" w:rsidRDefault="00625FF6" w:rsidP="00F9158C">
      <w:pPr>
        <w:pStyle w:val="ListParagraph"/>
        <w:numPr>
          <w:ilvl w:val="0"/>
          <w:numId w:val="77"/>
        </w:numPr>
      </w:pPr>
      <w:r w:rsidRPr="00B51383">
        <w:t>Assess the accessibility of venues and resources provided through the program.</w:t>
      </w:r>
    </w:p>
    <w:p w:rsidR="00625FF6" w:rsidRPr="00023406" w:rsidRDefault="00625FF6" w:rsidP="00F9158C">
      <w:pPr>
        <w:pStyle w:val="ListParagraph"/>
        <w:numPr>
          <w:ilvl w:val="0"/>
          <w:numId w:val="77"/>
        </w:numPr>
        <w:rPr>
          <w:szCs w:val="22"/>
        </w:rPr>
      </w:pPr>
      <w:r w:rsidRPr="00B51383">
        <w:t>Partner with the Public Health and Safety Division Administrator and Bureau Chiefs to determine/delegate the appropriate staff person(s) to keep MDHP and others (e.g. federal agencies, other state agencies, the Veterans Administration, Indian Health Services, and Montana Centers for Independent Living) apprised of information and issues surrounding the afore</w:t>
      </w:r>
      <w:r w:rsidR="00023406">
        <w:t>mentioned secondary conditions.</w:t>
      </w:r>
    </w:p>
    <w:p w:rsidR="00625FF6" w:rsidRPr="00023406" w:rsidRDefault="00625FF6" w:rsidP="00F9158C">
      <w:pPr>
        <w:pStyle w:val="ListParagraph"/>
        <w:numPr>
          <w:ilvl w:val="0"/>
          <w:numId w:val="77"/>
        </w:numPr>
        <w:rPr>
          <w:szCs w:val="22"/>
        </w:rPr>
      </w:pPr>
      <w:r w:rsidRPr="00B51383">
        <w:t>Partner with other departments within the University of Montana to include disability and health information and materials within specific curricula in order to increase knowledge about people with disabilities, prevention of secondary condi</w:t>
      </w:r>
      <w:r w:rsidR="00023406">
        <w:t>tions, and access to resources.</w:t>
      </w:r>
    </w:p>
    <w:p w:rsidR="00625FF6" w:rsidRPr="00023406" w:rsidRDefault="00625FF6" w:rsidP="00F9158C">
      <w:pPr>
        <w:pStyle w:val="ListParagraph"/>
        <w:numPr>
          <w:ilvl w:val="0"/>
          <w:numId w:val="77"/>
        </w:numPr>
        <w:rPr>
          <w:szCs w:val="22"/>
        </w:rPr>
      </w:pPr>
      <w:r w:rsidRPr="00B51383">
        <w:t>Partner with the Montana Office of Public Instruction to include information about disability and health within</w:t>
      </w:r>
      <w:r w:rsidR="00023406">
        <w:t xml:space="preserve"> high school health curricula. </w:t>
      </w:r>
    </w:p>
    <w:p w:rsidR="00625FF6" w:rsidRPr="00023406" w:rsidRDefault="00625FF6" w:rsidP="00F9158C">
      <w:pPr>
        <w:pStyle w:val="ListParagraph"/>
        <w:numPr>
          <w:ilvl w:val="0"/>
          <w:numId w:val="77"/>
        </w:numPr>
        <w:rPr>
          <w:sz w:val="23"/>
          <w:szCs w:val="23"/>
        </w:rPr>
      </w:pPr>
      <w:r w:rsidRPr="00023406">
        <w:rPr>
          <w:sz w:val="23"/>
          <w:szCs w:val="23"/>
        </w:rPr>
        <w:t>Host annual forums for state and national partners to identify best practices as well as priority issues, resolutions, and policies for people with disabilities.</w:t>
      </w:r>
    </w:p>
    <w:p w:rsidR="00625FF6" w:rsidRPr="00B51383" w:rsidRDefault="00625FF6" w:rsidP="00625FF6">
      <w:pPr>
        <w:pStyle w:val="ListParagraph"/>
        <w:numPr>
          <w:ilvl w:val="0"/>
          <w:numId w:val="0"/>
        </w:numPr>
        <w:spacing w:after="180" w:line="240" w:lineRule="auto"/>
        <w:ind w:left="1080"/>
        <w:outlineLvl w:val="9"/>
        <w:rPr>
          <w:rFonts w:cs="Arial"/>
          <w:sz w:val="14"/>
          <w:szCs w:val="14"/>
        </w:rPr>
      </w:pPr>
    </w:p>
    <w:p w:rsidR="00625FF6" w:rsidRDefault="00625FF6" w:rsidP="00023406">
      <w:pPr>
        <w:spacing w:after="60"/>
        <w:rPr>
          <w:rFonts w:eastAsia="Times New Roman" w:cs="Arial"/>
          <w:u w:val="single"/>
        </w:rPr>
      </w:pPr>
      <w:r w:rsidRPr="00B51383">
        <w:rPr>
          <w:rFonts w:eastAsia="Times New Roman" w:cs="Arial"/>
          <w:u w:val="single"/>
        </w:rPr>
        <w:t>MDPHHS: Joanne Oreskovich, PhD, BRFSS Program Manager</w:t>
      </w:r>
    </w:p>
    <w:p w:rsidR="00625FF6" w:rsidRPr="00023406" w:rsidRDefault="00625FF6" w:rsidP="00F9158C">
      <w:pPr>
        <w:pStyle w:val="ListParagraph"/>
        <w:numPr>
          <w:ilvl w:val="0"/>
          <w:numId w:val="78"/>
        </w:numPr>
        <w:spacing w:after="60"/>
        <w:rPr>
          <w:rFonts w:eastAsia="Times New Roman" w:cs="Arial"/>
        </w:rPr>
      </w:pPr>
      <w:r w:rsidRPr="00023406">
        <w:rPr>
          <w:rFonts w:eastAsia="Times New Roman" w:cs="Arial"/>
        </w:rPr>
        <w:t>Provide quarterly BRFSS reports on priority health issues.</w:t>
      </w:r>
    </w:p>
    <w:p w:rsidR="00625FF6" w:rsidRDefault="00625FF6" w:rsidP="00F9158C">
      <w:pPr>
        <w:pStyle w:val="ListParagraph"/>
        <w:numPr>
          <w:ilvl w:val="0"/>
          <w:numId w:val="78"/>
        </w:numPr>
        <w:spacing w:after="120"/>
        <w:rPr>
          <w:rFonts w:eastAsia="Times New Roman" w:cs="Arial"/>
        </w:rPr>
      </w:pPr>
      <w:r w:rsidRPr="00023406">
        <w:rPr>
          <w:rFonts w:eastAsia="Times New Roman" w:cs="Arial"/>
        </w:rPr>
        <w:t>In collaboration with MTDH staff, provide special reports on topics of particular concern.</w:t>
      </w:r>
    </w:p>
    <w:p w:rsidR="00967FF1" w:rsidRPr="00967FF1" w:rsidRDefault="00967FF1" w:rsidP="00967FF1">
      <w:pPr>
        <w:spacing w:after="120"/>
        <w:rPr>
          <w:rStyle w:val="Strong"/>
        </w:rPr>
      </w:pPr>
      <w:r w:rsidRPr="00967FF1">
        <w:rPr>
          <w:rStyle w:val="Strong"/>
        </w:rPr>
        <w:t>Objective 5C</w:t>
      </w:r>
    </w:p>
    <w:p w:rsidR="00967FF1" w:rsidRPr="00967FF1" w:rsidRDefault="00967FF1" w:rsidP="00967FF1">
      <w:pPr>
        <w:spacing w:after="120"/>
        <w:rPr>
          <w:rStyle w:val="Strong"/>
        </w:rPr>
      </w:pPr>
      <w:r w:rsidRPr="00967FF1">
        <w:rPr>
          <w:rStyle w:val="Strong"/>
        </w:rPr>
        <w:t>Through June 30, 2015, the MTDH program will partner with the Addictive and Mental Disorders (AMDD) Division of MDPHHS to:</w:t>
      </w:r>
    </w:p>
    <w:p w:rsidR="00967FF1" w:rsidRPr="00967FF1" w:rsidRDefault="00967FF1" w:rsidP="00F9158C">
      <w:pPr>
        <w:pStyle w:val="ListParagraph"/>
        <w:numPr>
          <w:ilvl w:val="0"/>
          <w:numId w:val="84"/>
        </w:numPr>
        <w:spacing w:after="120"/>
        <w:rPr>
          <w:rStyle w:val="Strong"/>
        </w:rPr>
      </w:pPr>
      <w:r w:rsidRPr="00967FF1">
        <w:rPr>
          <w:rStyle w:val="Strong"/>
        </w:rPr>
        <w:t>Inform people with disabilities (PWD) and the general public about risk factors for and symptoms of depression, anxiety, and other mental health disorders; and</w:t>
      </w:r>
    </w:p>
    <w:p w:rsidR="00BA2680" w:rsidRPr="00967FF1" w:rsidRDefault="00967FF1" w:rsidP="00F9158C">
      <w:pPr>
        <w:pStyle w:val="ListParagraph"/>
        <w:numPr>
          <w:ilvl w:val="0"/>
          <w:numId w:val="84"/>
        </w:numPr>
        <w:spacing w:after="120"/>
        <w:rPr>
          <w:rStyle w:val="Strong"/>
        </w:rPr>
      </w:pPr>
      <w:r w:rsidRPr="00967FF1">
        <w:rPr>
          <w:rStyle w:val="Strong"/>
        </w:rPr>
        <w:t>Encourage all Montanans to adopt validated stress-reduction and emotional self-management techniques.</w:t>
      </w:r>
      <w:bookmarkStart w:id="43" w:name="fig"/>
      <w:bookmarkEnd w:id="43"/>
    </w:p>
    <w:p w:rsidR="00625FF6" w:rsidRPr="00023406" w:rsidRDefault="00625FF6" w:rsidP="00023406">
      <w:pPr>
        <w:rPr>
          <w:rStyle w:val="Strong"/>
        </w:rPr>
      </w:pPr>
      <w:r w:rsidRPr="00023406">
        <w:rPr>
          <w:rStyle w:val="Strong"/>
        </w:rPr>
        <w:t xml:space="preserve">Activities </w:t>
      </w:r>
    </w:p>
    <w:p w:rsidR="00625FF6" w:rsidRPr="003D5A91" w:rsidRDefault="00625FF6" w:rsidP="00023406">
      <w:pPr>
        <w:rPr>
          <w:rFonts w:cs="Arial"/>
          <w:u w:val="single"/>
        </w:rPr>
      </w:pPr>
      <w:r w:rsidRPr="003D5A91">
        <w:rPr>
          <w:rFonts w:cs="Arial"/>
          <w:u w:val="single"/>
        </w:rPr>
        <w:t>MTDH / Meg Traci, PhD, PI, MTDH Program Director</w:t>
      </w:r>
    </w:p>
    <w:p w:rsidR="00625FF6" w:rsidRPr="00023406" w:rsidRDefault="00625FF6" w:rsidP="00F9158C">
      <w:pPr>
        <w:pStyle w:val="ListParagraph"/>
        <w:numPr>
          <w:ilvl w:val="0"/>
          <w:numId w:val="79"/>
        </w:numPr>
        <w:rPr>
          <w:szCs w:val="22"/>
        </w:rPr>
      </w:pPr>
      <w:r w:rsidRPr="003D5A91">
        <w:t xml:space="preserve">Collaborate with stakeholders and partners to develop comprehensive mental health plans that enhance coordination of health care and the integration of mental health services and primary healthcare. </w:t>
      </w:r>
    </w:p>
    <w:p w:rsidR="00625FF6" w:rsidRPr="00023406" w:rsidRDefault="00625FF6" w:rsidP="00F9158C">
      <w:pPr>
        <w:pStyle w:val="ListParagraph"/>
        <w:numPr>
          <w:ilvl w:val="0"/>
          <w:numId w:val="79"/>
        </w:numPr>
        <w:rPr>
          <w:szCs w:val="22"/>
        </w:rPr>
      </w:pPr>
      <w:r w:rsidRPr="003D5A91">
        <w:t>Encourage primary care practitioners to incorporate the PHQ-8 module (used to assess depression and anxiety) into annua</w:t>
      </w:r>
      <w:r w:rsidR="00023406">
        <w:t xml:space="preserve">l primary care physical exams. </w:t>
      </w:r>
    </w:p>
    <w:p w:rsidR="00625FF6" w:rsidRPr="00023406" w:rsidRDefault="00625FF6" w:rsidP="00F9158C">
      <w:pPr>
        <w:pStyle w:val="ListParagraph"/>
        <w:numPr>
          <w:ilvl w:val="0"/>
          <w:numId w:val="79"/>
        </w:numPr>
        <w:rPr>
          <w:szCs w:val="22"/>
        </w:rPr>
      </w:pPr>
      <w:r w:rsidRPr="003D5A91">
        <w:t>Incorporate mental health promotion into chro</w:t>
      </w:r>
      <w:r w:rsidR="00023406">
        <w:t>nic disease prevention efforts.</w:t>
      </w:r>
    </w:p>
    <w:p w:rsidR="00625FF6" w:rsidRPr="00023406" w:rsidRDefault="00625FF6" w:rsidP="00F9158C">
      <w:pPr>
        <w:pStyle w:val="ListParagraph"/>
        <w:numPr>
          <w:ilvl w:val="0"/>
          <w:numId w:val="79"/>
        </w:numPr>
        <w:rPr>
          <w:szCs w:val="22"/>
        </w:rPr>
      </w:pPr>
      <w:r w:rsidRPr="003D5A91">
        <w:t>Incorporate mental health concerns into the treatment of ot</w:t>
      </w:r>
      <w:r w:rsidR="00023406">
        <w:t>her chronic diseases.</w:t>
      </w:r>
    </w:p>
    <w:p w:rsidR="00625FF6" w:rsidRPr="00023406" w:rsidRDefault="00625FF6" w:rsidP="00F9158C">
      <w:pPr>
        <w:pStyle w:val="ListParagraph"/>
        <w:numPr>
          <w:ilvl w:val="0"/>
          <w:numId w:val="79"/>
        </w:numPr>
        <w:rPr>
          <w:szCs w:val="22"/>
        </w:rPr>
      </w:pPr>
      <w:r w:rsidRPr="003D5A91">
        <w:lastRenderedPageBreak/>
        <w:t>Conduct health promotion campaigns that educate the public about the symptoms of depression and anxiety and the potential ways to treat these illnesses.</w:t>
      </w:r>
    </w:p>
    <w:p w:rsidR="00625FF6" w:rsidRPr="00023406" w:rsidRDefault="00625FF6" w:rsidP="00F9158C">
      <w:pPr>
        <w:pStyle w:val="ListParagraph"/>
        <w:numPr>
          <w:ilvl w:val="0"/>
          <w:numId w:val="79"/>
        </w:numPr>
      </w:pPr>
      <w:r w:rsidRPr="003D5A91">
        <w:t>Develop</w:t>
      </w:r>
      <w:r>
        <w:t xml:space="preserve"> relationship with AMDD. </w:t>
      </w:r>
      <w:r w:rsidRPr="003D5A91">
        <w:t>Add a mental health professional to the Advisory Group.</w:t>
      </w:r>
    </w:p>
    <w:p w:rsidR="00625FF6" w:rsidRPr="00023406" w:rsidRDefault="00625FF6" w:rsidP="00F9158C">
      <w:pPr>
        <w:pStyle w:val="ListParagraph"/>
        <w:numPr>
          <w:ilvl w:val="0"/>
          <w:numId w:val="79"/>
        </w:numPr>
        <w:rPr>
          <w:szCs w:val="22"/>
        </w:rPr>
      </w:pPr>
      <w:r w:rsidRPr="003D5A91">
        <w:t xml:space="preserve">Recruit a person from the Veterans Administration </w:t>
      </w:r>
      <w:r>
        <w:t xml:space="preserve">(VA) to join the Advisory Group. Such as </w:t>
      </w:r>
      <w:r w:rsidRPr="003D5A91">
        <w:t>Lee Wilkinson</w:t>
      </w:r>
      <w:r>
        <w:t xml:space="preserve">, </w:t>
      </w:r>
      <w:r w:rsidRPr="003D5A91">
        <w:t>veterans services representative</w:t>
      </w:r>
      <w:r>
        <w:t>. He c</w:t>
      </w:r>
      <w:r w:rsidRPr="003D5A91">
        <w:t>an be reached at 406-442-6410</w:t>
      </w:r>
      <w:r>
        <w:t>.</w:t>
      </w:r>
    </w:p>
    <w:p w:rsidR="00625FF6" w:rsidRDefault="00625FF6" w:rsidP="00F9158C">
      <w:pPr>
        <w:pStyle w:val="ListParagraph"/>
        <w:numPr>
          <w:ilvl w:val="0"/>
          <w:numId w:val="79"/>
        </w:numPr>
      </w:pPr>
      <w:r>
        <w:t>E</w:t>
      </w:r>
      <w:r w:rsidRPr="003D5A91">
        <w:t>ncourage adults with these disorders to seek treatment in order to prevent increased severity or progression of the illnesses.</w:t>
      </w:r>
    </w:p>
    <w:p w:rsidR="00967FF1" w:rsidRPr="00967FF1" w:rsidRDefault="00967FF1" w:rsidP="00967FF1">
      <w:pPr>
        <w:rPr>
          <w:rStyle w:val="Strong"/>
        </w:rPr>
      </w:pPr>
      <w:r w:rsidRPr="00967FF1">
        <w:rPr>
          <w:rStyle w:val="Strong"/>
        </w:rPr>
        <w:t>Objective 5D</w:t>
      </w:r>
    </w:p>
    <w:p w:rsidR="00967FF1" w:rsidRPr="00967FF1" w:rsidRDefault="00967FF1" w:rsidP="00967FF1">
      <w:pPr>
        <w:rPr>
          <w:rStyle w:val="Strong"/>
        </w:rPr>
      </w:pPr>
      <w:r w:rsidRPr="00967FF1">
        <w:rPr>
          <w:rStyle w:val="Strong"/>
        </w:rPr>
        <w:t>Through June 30, 2015, the MTDH Program will continue to collaborate with Core Management Team members to provide information and education regarding secondary condition prevention strategies and health resources available in Montana communities.  Education will be targeted to at least 5,000 professionals, service providers, and people with disabilities.</w:t>
      </w:r>
    </w:p>
    <w:p w:rsidR="00625FF6" w:rsidRPr="00D22AD4" w:rsidRDefault="00625FF6" w:rsidP="00D22AD4">
      <w:pPr>
        <w:rPr>
          <w:rStyle w:val="Strong"/>
        </w:rPr>
      </w:pPr>
      <w:r w:rsidRPr="00D22AD4">
        <w:rPr>
          <w:rStyle w:val="Strong"/>
        </w:rPr>
        <w:t xml:space="preserve">Activities </w:t>
      </w:r>
    </w:p>
    <w:p w:rsidR="00625FF6" w:rsidRPr="004B51AC" w:rsidRDefault="00625FF6" w:rsidP="00D22AD4">
      <w:pPr>
        <w:spacing w:after="120"/>
        <w:rPr>
          <w:rFonts w:cs="Arial"/>
          <w:u w:val="single"/>
        </w:rPr>
      </w:pPr>
      <w:r w:rsidRPr="004B51AC">
        <w:rPr>
          <w:rFonts w:cs="Arial"/>
          <w:u w:val="single"/>
        </w:rPr>
        <w:t>MTDH Staff: Meg Traci, PhD, PI, MTDH Program Director</w:t>
      </w:r>
    </w:p>
    <w:p w:rsidR="00625FF6" w:rsidRPr="00D22AD4" w:rsidRDefault="00625FF6" w:rsidP="00F9158C">
      <w:pPr>
        <w:pStyle w:val="ListParagraph"/>
        <w:numPr>
          <w:ilvl w:val="0"/>
          <w:numId w:val="80"/>
        </w:numPr>
        <w:rPr>
          <w:szCs w:val="22"/>
          <w:u w:val="single"/>
        </w:rPr>
      </w:pPr>
      <w:r w:rsidRPr="00D22AD4">
        <w:t xml:space="preserve">Participate in long-term care conferences and present information regarding disability and health. </w:t>
      </w:r>
    </w:p>
    <w:p w:rsidR="00625FF6" w:rsidRPr="00D22AD4" w:rsidRDefault="00625FF6" w:rsidP="00F9158C">
      <w:pPr>
        <w:pStyle w:val="ListParagraph"/>
        <w:numPr>
          <w:ilvl w:val="0"/>
          <w:numId w:val="80"/>
        </w:numPr>
        <w:rPr>
          <w:szCs w:val="22"/>
          <w:u w:val="single"/>
        </w:rPr>
      </w:pPr>
      <w:r w:rsidRPr="00D22AD4">
        <w:t>Provide information and training to care givers and health professionals regarding disability and health.</w:t>
      </w:r>
    </w:p>
    <w:p w:rsidR="00625FF6" w:rsidRPr="00967FF1" w:rsidRDefault="00625FF6" w:rsidP="00F9158C">
      <w:pPr>
        <w:pStyle w:val="ListParagraph"/>
        <w:numPr>
          <w:ilvl w:val="0"/>
          <w:numId w:val="80"/>
        </w:numPr>
        <w:rPr>
          <w:u w:val="single"/>
        </w:rPr>
      </w:pPr>
      <w:r w:rsidRPr="00D22AD4">
        <w:t>Keep professionals and the general public apprised of disability and health issues and effective prevention efforts.</w:t>
      </w:r>
    </w:p>
    <w:p w:rsidR="00967FF1" w:rsidRPr="00967FF1" w:rsidRDefault="00967FF1" w:rsidP="00967FF1">
      <w:pPr>
        <w:rPr>
          <w:rStyle w:val="Strong"/>
        </w:rPr>
      </w:pPr>
      <w:r w:rsidRPr="00967FF1">
        <w:rPr>
          <w:rStyle w:val="Strong"/>
        </w:rPr>
        <w:t>Objective 5E</w:t>
      </w:r>
    </w:p>
    <w:p w:rsidR="00967FF1" w:rsidRPr="00967FF1" w:rsidRDefault="00967FF1" w:rsidP="00967FF1">
      <w:pPr>
        <w:rPr>
          <w:rStyle w:val="Strong"/>
        </w:rPr>
      </w:pPr>
      <w:r w:rsidRPr="00967FF1">
        <w:rPr>
          <w:rStyle w:val="Strong"/>
        </w:rPr>
        <w:t>By June 30, 2015, increase by 10% the number of DPHHS Health Programs (Chronic Disease Prevention/Health Promotion and Child Health); Montana University System Wellness Programs; and local health jurisdictions healthy communities task forces/coalitions that have at least one Disability Advisor as a member.</w:t>
      </w:r>
    </w:p>
    <w:p w:rsidR="00625FF6" w:rsidRPr="00D22AD4" w:rsidRDefault="00625FF6" w:rsidP="00D22AD4">
      <w:pPr>
        <w:rPr>
          <w:rStyle w:val="Strong"/>
        </w:rPr>
      </w:pPr>
      <w:r w:rsidRPr="00D22AD4">
        <w:rPr>
          <w:rStyle w:val="Strong"/>
        </w:rPr>
        <w:t>Activities</w:t>
      </w:r>
    </w:p>
    <w:p w:rsidR="00625FF6" w:rsidRPr="009A380A" w:rsidRDefault="00625FF6" w:rsidP="00D22AD4">
      <w:pPr>
        <w:spacing w:after="120"/>
        <w:rPr>
          <w:rFonts w:cs="Arial"/>
          <w:u w:val="single"/>
        </w:rPr>
      </w:pPr>
      <w:r w:rsidRPr="009A380A">
        <w:rPr>
          <w:rFonts w:cs="Arial"/>
          <w:u w:val="single"/>
        </w:rPr>
        <w:t>MTDH and current Disability Advisors / Meg Traci, PhD, PI, MTDH Program Director</w:t>
      </w:r>
    </w:p>
    <w:p w:rsidR="00625FF6" w:rsidRPr="00D22AD4" w:rsidRDefault="00625FF6" w:rsidP="00F9158C">
      <w:pPr>
        <w:pStyle w:val="ListParagraph"/>
        <w:numPr>
          <w:ilvl w:val="0"/>
          <w:numId w:val="81"/>
        </w:numPr>
        <w:rPr>
          <w:szCs w:val="22"/>
          <w:u w:val="single"/>
        </w:rPr>
      </w:pPr>
      <w:r w:rsidRPr="009A380A">
        <w:t xml:space="preserve">Work with additional state agencies, private non-profit groups and University programs to </w:t>
      </w:r>
      <w:r>
        <w:t xml:space="preserve">identify </w:t>
      </w:r>
      <w:r w:rsidRPr="009A380A">
        <w:t>additional opportunities for Disability Advisors.</w:t>
      </w:r>
    </w:p>
    <w:p w:rsidR="00625FF6" w:rsidRPr="00D22AD4" w:rsidRDefault="00625FF6" w:rsidP="00F9158C">
      <w:pPr>
        <w:pStyle w:val="ListParagraph"/>
        <w:numPr>
          <w:ilvl w:val="0"/>
          <w:numId w:val="81"/>
        </w:numPr>
        <w:rPr>
          <w:szCs w:val="22"/>
          <w:u w:val="single"/>
        </w:rPr>
      </w:pPr>
      <w:r w:rsidRPr="009A380A">
        <w:t>Recruit and train additional Disability Advisors, including high school and college-age youth.</w:t>
      </w:r>
    </w:p>
    <w:p w:rsidR="00625FF6" w:rsidRPr="00D22AD4" w:rsidRDefault="00625FF6" w:rsidP="00F9158C">
      <w:pPr>
        <w:pStyle w:val="ListParagraph"/>
        <w:numPr>
          <w:ilvl w:val="0"/>
          <w:numId w:val="81"/>
        </w:numPr>
        <w:rPr>
          <w:szCs w:val="22"/>
        </w:rPr>
      </w:pPr>
      <w:r w:rsidRPr="009A380A">
        <w:t xml:space="preserve">Evaluate the effectiveness of this approach and identify </w:t>
      </w:r>
      <w:r w:rsidR="00D22AD4">
        <w:t xml:space="preserve">improvements that can be made. </w:t>
      </w:r>
    </w:p>
    <w:p w:rsidR="00625FF6" w:rsidRDefault="00625FF6" w:rsidP="00F9158C">
      <w:pPr>
        <w:pStyle w:val="ListParagraph"/>
        <w:numPr>
          <w:ilvl w:val="0"/>
          <w:numId w:val="81"/>
        </w:numPr>
      </w:pPr>
      <w:r w:rsidRPr="009A380A">
        <w:lastRenderedPageBreak/>
        <w:t>Incorporate a Youth Leadership forum. (Check with June Hermanson, Bob Maffet or Deborah Swingley at the Montana Disability Council.)</w:t>
      </w:r>
    </w:p>
    <w:p w:rsidR="00172C90" w:rsidRDefault="00625FF6" w:rsidP="00F9158C">
      <w:pPr>
        <w:pStyle w:val="ListParagraph"/>
        <w:numPr>
          <w:ilvl w:val="0"/>
          <w:numId w:val="81"/>
        </w:numPr>
      </w:pPr>
      <w:r w:rsidRPr="000F41C2">
        <w:t>Go back to Friday meetings (do a doodle poll).</w:t>
      </w:r>
    </w:p>
    <w:sectPr w:rsidR="00172C90" w:rsidSect="00A075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D7" w:rsidRDefault="00B655D7" w:rsidP="00A04E55">
      <w:pPr>
        <w:spacing w:after="0" w:line="240" w:lineRule="auto"/>
      </w:pPr>
      <w:r>
        <w:separator/>
      </w:r>
    </w:p>
  </w:endnote>
  <w:endnote w:type="continuationSeparator" w:id="0">
    <w:p w:rsidR="00B655D7" w:rsidRDefault="00B655D7" w:rsidP="00A0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Myriad Pro">
    <w:altName w:val="Myriad Pro"/>
    <w:panose1 w:val="00000000000000000000"/>
    <w:charset w:val="00"/>
    <w:family w:val="swiss"/>
    <w:notTrueType/>
    <w:pitch w:val="variable"/>
    <w:sig w:usb0="20000287" w:usb1="00000001" w:usb2="00000000" w:usb3="00000000" w:csb0="000001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AvantGarde Medium">
    <w:altName w:val="AvantGarde Medium"/>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BoldCondensed">
    <w:panose1 w:val="00000000000000000000"/>
    <w:charset w:val="00"/>
    <w:family w:val="roman"/>
    <w:notTrueType/>
    <w:pitch w:val="default"/>
    <w:sig w:usb0="00000003" w:usb1="00000000" w:usb2="00000000" w:usb3="00000000" w:csb0="00000001"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69269"/>
      <w:docPartObj>
        <w:docPartGallery w:val="Page Numbers (Bottom of Page)"/>
        <w:docPartUnique/>
      </w:docPartObj>
    </w:sdtPr>
    <w:sdtEndPr/>
    <w:sdtContent>
      <w:p w:rsidR="00BB0D96" w:rsidRDefault="00BB0D96">
        <w:pPr>
          <w:pStyle w:val="Footer"/>
          <w:jc w:val="center"/>
        </w:pPr>
        <w:r>
          <w:fldChar w:fldCharType="begin"/>
        </w:r>
        <w:r>
          <w:instrText xml:space="preserve"> PAGE   \* MERGEFORMAT </w:instrText>
        </w:r>
        <w:r>
          <w:fldChar w:fldCharType="separate"/>
        </w:r>
        <w:r w:rsidR="004D2CFF">
          <w:rPr>
            <w:noProof/>
          </w:rPr>
          <w:t>1</w:t>
        </w:r>
        <w:r>
          <w:rPr>
            <w:noProof/>
          </w:rPr>
          <w:fldChar w:fldCharType="end"/>
        </w:r>
      </w:p>
    </w:sdtContent>
  </w:sdt>
  <w:p w:rsidR="00BB0D96" w:rsidRDefault="00BB0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D7" w:rsidRDefault="00B655D7" w:rsidP="00A04E55">
      <w:pPr>
        <w:spacing w:after="0" w:line="240" w:lineRule="auto"/>
      </w:pPr>
      <w:r>
        <w:separator/>
      </w:r>
    </w:p>
  </w:footnote>
  <w:footnote w:type="continuationSeparator" w:id="0">
    <w:p w:rsidR="00B655D7" w:rsidRDefault="00B655D7" w:rsidP="00A04E55">
      <w:pPr>
        <w:spacing w:after="0" w:line="240" w:lineRule="auto"/>
      </w:pPr>
      <w:r>
        <w:continuationSeparator/>
      </w:r>
    </w:p>
  </w:footnote>
  <w:footnote w:id="1">
    <w:p w:rsidR="00BB0D96" w:rsidRPr="00D616D7" w:rsidRDefault="00BB0D96" w:rsidP="00083465">
      <w:pPr>
        <w:pStyle w:val="FootnoteText"/>
        <w:rPr>
          <w:rFonts w:cs="Arial"/>
          <w:sz w:val="18"/>
          <w:szCs w:val="18"/>
        </w:rPr>
      </w:pPr>
      <w:r w:rsidRPr="00D616D7">
        <w:rPr>
          <w:rStyle w:val="FootnoteReference"/>
          <w:rFonts w:cs="Arial"/>
          <w:sz w:val="18"/>
          <w:szCs w:val="18"/>
        </w:rPr>
        <w:footnoteRef/>
      </w:r>
      <w:r w:rsidRPr="00D616D7">
        <w:rPr>
          <w:rFonts w:cs="Arial"/>
          <w:sz w:val="18"/>
          <w:szCs w:val="18"/>
        </w:rPr>
        <w:t xml:space="preserve"> </w:t>
      </w:r>
      <w:hyperlink r:id="rId1" w:history="1">
        <w:r w:rsidRPr="00D616D7">
          <w:rPr>
            <w:rStyle w:val="Hyperlink"/>
            <w:rFonts w:cs="Arial"/>
            <w:sz w:val="18"/>
            <w:szCs w:val="18"/>
          </w:rPr>
          <w:t>http://www.cdc.gov/ncbddd/disabilityandhealth/pdf/aboutdhprogram508.pdf</w:t>
        </w:r>
      </w:hyperlink>
    </w:p>
  </w:footnote>
  <w:footnote w:id="2">
    <w:p w:rsidR="00BB0D96" w:rsidRPr="00D616D7" w:rsidRDefault="00BB0D96" w:rsidP="00844E9A">
      <w:pPr>
        <w:autoSpaceDE w:val="0"/>
        <w:autoSpaceDN w:val="0"/>
        <w:adjustRightInd w:val="0"/>
        <w:spacing w:after="0" w:line="241" w:lineRule="atLeast"/>
        <w:rPr>
          <w:rFonts w:cs="Arial"/>
          <w:bCs/>
          <w:sz w:val="18"/>
          <w:szCs w:val="18"/>
        </w:rPr>
      </w:pPr>
      <w:r w:rsidRPr="00D616D7">
        <w:rPr>
          <w:rStyle w:val="FootnoteReference"/>
          <w:rFonts w:cs="Arial"/>
          <w:sz w:val="18"/>
          <w:szCs w:val="18"/>
        </w:rPr>
        <w:footnoteRef/>
      </w:r>
      <w:r w:rsidRPr="00D616D7">
        <w:rPr>
          <w:rFonts w:cs="Arial"/>
          <w:sz w:val="18"/>
          <w:szCs w:val="18"/>
        </w:rPr>
        <w:t xml:space="preserve"> 2004 Nationwide Harris Survey</w:t>
      </w:r>
    </w:p>
    <w:p w:rsidR="00BB0D96" w:rsidRPr="00D616D7" w:rsidRDefault="00BB0D96">
      <w:pPr>
        <w:pStyle w:val="FootnoteText"/>
        <w:rPr>
          <w:rFonts w:cs="Arial"/>
          <w:sz w:val="2"/>
          <w:szCs w:val="2"/>
        </w:rPr>
      </w:pPr>
    </w:p>
  </w:footnote>
  <w:footnote w:id="3">
    <w:p w:rsidR="00BB0D96" w:rsidRPr="00AF1E1A" w:rsidRDefault="00BB0D96" w:rsidP="00673D18">
      <w:pPr>
        <w:pStyle w:val="FootnoteText"/>
        <w:ind w:left="180" w:hanging="180"/>
        <w:rPr>
          <w:i/>
          <w:sz w:val="18"/>
          <w:szCs w:val="18"/>
        </w:rPr>
      </w:pPr>
      <w:r w:rsidRPr="00AF1E1A">
        <w:rPr>
          <w:rStyle w:val="FootnoteReference"/>
          <w:sz w:val="18"/>
          <w:szCs w:val="18"/>
        </w:rPr>
        <w:footnoteRef/>
      </w:r>
      <w:r w:rsidRPr="00AF1E1A">
        <w:rPr>
          <w:sz w:val="18"/>
          <w:szCs w:val="18"/>
        </w:rPr>
        <w:t xml:space="preserve"> </w:t>
      </w:r>
      <w:hyperlink r:id="rId2" w:history="1">
        <w:r w:rsidRPr="005274CF">
          <w:rPr>
            <w:rStyle w:val="Hyperlink"/>
            <w:sz w:val="18"/>
            <w:szCs w:val="18"/>
          </w:rPr>
          <w:t>http://archive.hhs.gov/news/press/2005pres/20050726.html</w:t>
        </w:r>
      </w:hyperlink>
    </w:p>
  </w:footnote>
  <w:footnote w:id="4">
    <w:p w:rsidR="00BB0D96" w:rsidRPr="00A2272D" w:rsidRDefault="00BB0D96" w:rsidP="005B55B7">
      <w:pPr>
        <w:autoSpaceDE w:val="0"/>
        <w:autoSpaceDN w:val="0"/>
        <w:adjustRightInd w:val="0"/>
        <w:spacing w:after="0" w:line="240" w:lineRule="auto"/>
        <w:rPr>
          <w:rFonts w:cs="Arial"/>
          <w:color w:val="1F497D" w:themeColor="text2"/>
          <w:sz w:val="16"/>
          <w:szCs w:val="16"/>
        </w:rPr>
      </w:pPr>
      <w:r w:rsidRPr="00600EAD">
        <w:rPr>
          <w:rStyle w:val="FootnoteReference"/>
          <w:rFonts w:cs="Arial"/>
          <w:sz w:val="18"/>
          <w:szCs w:val="18"/>
        </w:rPr>
        <w:footnoteRef/>
      </w:r>
      <w:r>
        <w:rPr>
          <w:rFonts w:cs="Arial"/>
          <w:sz w:val="18"/>
          <w:szCs w:val="18"/>
        </w:rPr>
        <w:t xml:space="preserve">  </w:t>
      </w:r>
      <w:r w:rsidRPr="00A2272D">
        <w:rPr>
          <w:rFonts w:eastAsiaTheme="minorHAnsi" w:cs="Arial"/>
          <w:sz w:val="18"/>
          <w:szCs w:val="18"/>
        </w:rPr>
        <w:t>Source: U.S. Census Bureau, Survey of Income and Program Participation, May–August 2010</w:t>
      </w:r>
      <w:r w:rsidRPr="00A2272D">
        <w:rPr>
          <w:rFonts w:eastAsiaTheme="minorHAnsi" w:cs="Arial"/>
          <w:sz w:val="16"/>
          <w:szCs w:val="16"/>
        </w:rPr>
        <w:t>.</w:t>
      </w:r>
    </w:p>
    <w:p w:rsidR="00BB0D96" w:rsidRPr="00A2272D" w:rsidRDefault="00BB0D96" w:rsidP="005B55B7">
      <w:pPr>
        <w:pStyle w:val="FootnoteText"/>
        <w:rPr>
          <w:rFonts w:cs="Arial"/>
          <w:sz w:val="2"/>
          <w:szCs w:val="2"/>
        </w:rPr>
      </w:pPr>
    </w:p>
  </w:footnote>
  <w:footnote w:id="5">
    <w:p w:rsidR="00BB0D96" w:rsidRDefault="00BB0D96" w:rsidP="00816C7C">
      <w:pPr>
        <w:pStyle w:val="FootnoteText"/>
        <w:rPr>
          <w:rFonts w:cs="Arial"/>
          <w:sz w:val="18"/>
          <w:szCs w:val="18"/>
        </w:rPr>
      </w:pPr>
      <w:r>
        <w:rPr>
          <w:rStyle w:val="FootnoteReference"/>
        </w:rPr>
        <w:footnoteRef/>
      </w:r>
      <w:r>
        <w:t xml:space="preserve"> </w:t>
      </w:r>
      <w:hyperlink r:id="rId3" w:history="1">
        <w:r w:rsidRPr="00B57DE8">
          <w:rPr>
            <w:rStyle w:val="Hyperlink"/>
            <w:rFonts w:cs="Arial"/>
            <w:sz w:val="18"/>
            <w:szCs w:val="18"/>
          </w:rPr>
          <w:t>http://montana.gov/search.mcpx?q=Number%20of%20Montanans%20enrolled%20in%20Medicaid%20Program&amp;via=homepage&amp;cx=013380590290877010950%3A3ubczas3i44&amp;cof=FORID%3A11&amp;ie=UTF-8</w:t>
        </w:r>
      </w:hyperlink>
    </w:p>
    <w:p w:rsidR="00BB0D96" w:rsidRPr="00482909" w:rsidRDefault="00BB0D96" w:rsidP="00816C7C">
      <w:pPr>
        <w:pStyle w:val="FootnoteText"/>
        <w:rPr>
          <w:rFonts w:cs="Arial"/>
          <w:sz w:val="6"/>
          <w:szCs w:val="6"/>
        </w:rPr>
      </w:pPr>
    </w:p>
  </w:footnote>
  <w:footnote w:id="6">
    <w:p w:rsidR="00BB0D96" w:rsidRDefault="00BB0D96" w:rsidP="00B01A4F">
      <w:pPr>
        <w:pStyle w:val="FootnoteText"/>
      </w:pPr>
      <w:r>
        <w:rPr>
          <w:rStyle w:val="FootnoteReference"/>
        </w:rPr>
        <w:footnoteRef/>
      </w:r>
      <w:r>
        <w:t xml:space="preserve"> </w:t>
      </w:r>
      <w:hyperlink r:id="rId4" w:history="1">
        <w:r w:rsidRPr="005B1219">
          <w:rPr>
            <w:rStyle w:val="Hyperlink"/>
          </w:rPr>
          <w:t>http://pascenter.org/state_based_stats/olmstead/olmstead_home.php?state=montana</w:t>
        </w:r>
      </w:hyperlink>
      <w:r>
        <w:t xml:space="preserve"> (updated May, 2013)</w:t>
      </w:r>
    </w:p>
  </w:footnote>
  <w:footnote w:id="7">
    <w:p w:rsidR="00BB0D96" w:rsidRDefault="00BB0D96" w:rsidP="00871FFB">
      <w:pPr>
        <w:pStyle w:val="FootnoteText"/>
      </w:pPr>
      <w:r>
        <w:rPr>
          <w:rStyle w:val="FootnoteReference"/>
        </w:rPr>
        <w:footnoteRef/>
      </w:r>
      <w:r>
        <w:t xml:space="preserve"> </w:t>
      </w:r>
      <w:r w:rsidRPr="00871FFB">
        <w:rPr>
          <w:rFonts w:cs="Arial"/>
          <w:sz w:val="18"/>
          <w:szCs w:val="18"/>
        </w:rPr>
        <w:t xml:space="preserve">Mathematica Policy Research, </w:t>
      </w:r>
      <w:hyperlink r:id="rId5" w:history="1">
        <w:r w:rsidRPr="00871FFB">
          <w:rPr>
            <w:rStyle w:val="Hyperlink"/>
            <w:rFonts w:cs="Arial"/>
            <w:sz w:val="18"/>
            <w:szCs w:val="18"/>
          </w:rPr>
          <w:t>http://www.mathematica-mpr.com/health/moneyfollowsperson.asp</w:t>
        </w:r>
      </w:hyperlink>
    </w:p>
  </w:footnote>
  <w:footnote w:id="8">
    <w:p w:rsidR="00BB0D96" w:rsidRDefault="00BB0D96" w:rsidP="00871FFB">
      <w:pPr>
        <w:pStyle w:val="FootnoteText"/>
        <w:rPr>
          <w:sz w:val="23"/>
          <w:szCs w:val="23"/>
        </w:rPr>
      </w:pPr>
      <w:r>
        <w:rPr>
          <w:rStyle w:val="FootnoteReference"/>
        </w:rPr>
        <w:footnoteRef/>
      </w:r>
      <w:r>
        <w:t xml:space="preserve"> </w:t>
      </w:r>
      <w:r w:rsidRPr="00084A31">
        <w:rPr>
          <w:sz w:val="18"/>
          <w:szCs w:val="18"/>
        </w:rPr>
        <w:t>Money Follows the Person 2012 Annual Report</w:t>
      </w:r>
      <w:r>
        <w:rPr>
          <w:sz w:val="18"/>
          <w:szCs w:val="18"/>
        </w:rPr>
        <w:t>, page</w:t>
      </w:r>
      <w:r>
        <w:rPr>
          <w:sz w:val="23"/>
          <w:szCs w:val="23"/>
        </w:rPr>
        <w:t xml:space="preserve"> 1</w:t>
      </w:r>
    </w:p>
    <w:p w:rsidR="00BB0D96" w:rsidRDefault="00B655D7" w:rsidP="00871FFB">
      <w:pPr>
        <w:pStyle w:val="FootnoteText"/>
      </w:pPr>
      <w:hyperlink r:id="rId6" w:history="1">
        <w:r w:rsidR="00BB0D96" w:rsidRPr="00DF1CED">
          <w:rPr>
            <w:rStyle w:val="Hyperlink"/>
          </w:rPr>
          <w:t>http://www.mathematica-mpr.com/publications/pdfs/health/MFP_2012_Annual.pdf</w:t>
        </w:r>
      </w:hyperlink>
    </w:p>
  </w:footnote>
  <w:footnote w:id="9">
    <w:p w:rsidR="00BB0D96" w:rsidRDefault="00BB0D96">
      <w:pPr>
        <w:pStyle w:val="FootnoteText"/>
      </w:pPr>
      <w:r>
        <w:rPr>
          <w:rStyle w:val="FootnoteReference"/>
        </w:rPr>
        <w:footnoteRef/>
      </w:r>
      <w:r>
        <w:t xml:space="preserve"> </w:t>
      </w:r>
      <w:hyperlink r:id="rId7" w:history="1">
        <w:r w:rsidRPr="000D2256">
          <w:rPr>
            <w:rStyle w:val="Hyperlink"/>
          </w:rPr>
          <w:t>http://www.dphhs.mt.gov/medicaid/</w:t>
        </w:r>
      </w:hyperlink>
    </w:p>
  </w:footnote>
  <w:footnote w:id="10">
    <w:p w:rsidR="00BB0D96" w:rsidRDefault="00BB0D96" w:rsidP="000153AB">
      <w:pPr>
        <w:pStyle w:val="FootnoteText"/>
        <w:ind w:left="90" w:hanging="90"/>
      </w:pPr>
      <w:r>
        <w:rPr>
          <w:rStyle w:val="FootnoteReference"/>
        </w:rPr>
        <w:footnoteRef/>
      </w:r>
      <w:r>
        <w:t xml:space="preserve"> </w:t>
      </w:r>
      <w:hyperlink r:id="rId8" w:history="1">
        <w:r w:rsidRPr="00034877">
          <w:rPr>
            <w:rStyle w:val="Hyperlink"/>
          </w:rPr>
          <w:t>http://kff.org/medicaid/state-indicator/medicaid-income-eligibility-limits-for-adults-at-application-as-of-april-1-2014/</w:t>
        </w:r>
      </w:hyperlink>
    </w:p>
  </w:footnote>
  <w:footnote w:id="11">
    <w:p w:rsidR="00BB0D96" w:rsidRDefault="00BB0D96" w:rsidP="00CE6D1A">
      <w:pPr>
        <w:pStyle w:val="FootnoteText"/>
      </w:pPr>
      <w:r>
        <w:rPr>
          <w:rStyle w:val="FootnoteReference"/>
        </w:rPr>
        <w:footnoteRef/>
      </w:r>
      <w:r>
        <w:t xml:space="preserve">   </w:t>
      </w:r>
      <w:hyperlink r:id="rId9" w:history="1">
        <w:r w:rsidRPr="0079080F">
          <w:rPr>
            <w:rStyle w:val="Hyperlink"/>
          </w:rPr>
          <w:t>http://www.ourfactsyourfuture.org/admin/uploadedPublications/5559_eag-0414.pdf</w:t>
        </w:r>
      </w:hyperlink>
    </w:p>
  </w:footnote>
  <w:footnote w:id="12">
    <w:p w:rsidR="00BB0D96" w:rsidRPr="002C2969" w:rsidRDefault="00BB0D96">
      <w:pPr>
        <w:pStyle w:val="FootnoteText"/>
        <w:rPr>
          <w:rFonts w:cs="Arial"/>
          <w:sz w:val="18"/>
          <w:szCs w:val="18"/>
        </w:rPr>
      </w:pPr>
      <w:r>
        <w:t xml:space="preserve">  </w:t>
      </w:r>
      <w:r>
        <w:rPr>
          <w:rStyle w:val="FootnoteReference"/>
        </w:rPr>
        <w:footnoteRef/>
      </w:r>
      <w:r>
        <w:t xml:space="preserve"> </w:t>
      </w:r>
      <w:hyperlink r:id="rId10" w:history="1">
        <w:r w:rsidRPr="002C2969">
          <w:rPr>
            <w:rStyle w:val="Hyperlink"/>
          </w:rPr>
          <w:t>http://www.census.gov/newsroom/releases/archives/american_community_survey_acs/cb13-29.html</w:t>
        </w:r>
      </w:hyperlink>
    </w:p>
  </w:footnote>
  <w:footnote w:id="13">
    <w:p w:rsidR="00BB0D96" w:rsidRDefault="00BB0D96">
      <w:pPr>
        <w:pStyle w:val="FootnoteText"/>
      </w:pPr>
      <w:r>
        <w:rPr>
          <w:rStyle w:val="FootnoteReference"/>
        </w:rPr>
        <w:footnoteRef/>
      </w:r>
      <w:r>
        <w:t xml:space="preserve"> Ibid.</w:t>
      </w:r>
    </w:p>
  </w:footnote>
  <w:footnote w:id="14">
    <w:p w:rsidR="00BB0D96" w:rsidRDefault="00BB0D96" w:rsidP="009F5B01">
      <w:pPr>
        <w:pStyle w:val="FootnoteText"/>
      </w:pPr>
      <w:r>
        <w:rPr>
          <w:rStyle w:val="FootnoteReference"/>
        </w:rPr>
        <w:footnoteRef/>
      </w:r>
      <w:r>
        <w:t xml:space="preserve"> </w:t>
      </w:r>
      <w:hyperlink r:id="rId11" w:history="1">
        <w:r w:rsidRPr="00530BDB">
          <w:rPr>
            <w:rStyle w:val="Hyperlink"/>
          </w:rPr>
          <w:t>http://www.cdc.gov/aging/pdf/state-aging-health-in-america-2013.pdf</w:t>
        </w:r>
      </w:hyperlink>
    </w:p>
  </w:footnote>
  <w:footnote w:id="15">
    <w:p w:rsidR="00BB0D96" w:rsidRDefault="00BB0D96" w:rsidP="003E598A">
      <w:pPr>
        <w:pStyle w:val="FootnoteText"/>
      </w:pPr>
      <w:r>
        <w:rPr>
          <w:rStyle w:val="FootnoteReference"/>
        </w:rPr>
        <w:footnoteRef/>
      </w:r>
      <w:r>
        <w:t xml:space="preserve"> </w:t>
      </w:r>
      <w:hyperlink r:id="rId12" w:history="1">
        <w:r w:rsidRPr="00DD58D5">
          <w:rPr>
            <w:rStyle w:val="Hyperlink"/>
          </w:rPr>
          <w:t>http://www.cdc.gov/aging/pdf/state-aging-health-in-america-2013.pdf</w:t>
        </w:r>
      </w:hyperlink>
    </w:p>
  </w:footnote>
  <w:footnote w:id="16">
    <w:p w:rsidR="00BB0D96" w:rsidRDefault="00BB0D96" w:rsidP="006611AD">
      <w:pPr>
        <w:spacing w:after="0"/>
      </w:pPr>
      <w:r w:rsidRPr="00482909">
        <w:rPr>
          <w:rStyle w:val="FootnoteReference"/>
          <w:rFonts w:cs="Arial"/>
          <w:sz w:val="18"/>
          <w:szCs w:val="18"/>
        </w:rPr>
        <w:footnoteRef/>
      </w:r>
      <w:r w:rsidRPr="00482909">
        <w:rPr>
          <w:rFonts w:cs="Arial"/>
          <w:sz w:val="18"/>
          <w:szCs w:val="18"/>
        </w:rPr>
        <w:t xml:space="preserve"> </w:t>
      </w:r>
      <w:hyperlink r:id="rId13" w:history="1">
        <w:r w:rsidRPr="00482909">
          <w:rPr>
            <w:rStyle w:val="Hyperlink"/>
            <w:rFonts w:cs="Arial"/>
            <w:sz w:val="18"/>
            <w:szCs w:val="18"/>
          </w:rPr>
          <w:t>http://www.cdc.gov/nchs/data/hus/hus13.pdf#018</w:t>
        </w:r>
      </w:hyperlink>
      <w:r>
        <w:t xml:space="preserve"> </w:t>
      </w:r>
    </w:p>
    <w:p w:rsidR="00BB0D96" w:rsidRPr="006611AD" w:rsidRDefault="00BB0D96" w:rsidP="00C068DD">
      <w:pPr>
        <w:pStyle w:val="FootnoteText"/>
        <w:rPr>
          <w:sz w:val="4"/>
          <w:szCs w:val="4"/>
        </w:rPr>
      </w:pPr>
    </w:p>
  </w:footnote>
  <w:footnote w:id="17">
    <w:p w:rsidR="00BB0D96" w:rsidRPr="006611AD" w:rsidRDefault="00BB0D96">
      <w:pPr>
        <w:pStyle w:val="FootnoteText"/>
        <w:rPr>
          <w:rFonts w:cs="Arial"/>
          <w:sz w:val="18"/>
          <w:szCs w:val="18"/>
        </w:rPr>
      </w:pPr>
      <w:r>
        <w:rPr>
          <w:rStyle w:val="FootnoteReference"/>
        </w:rPr>
        <w:footnoteRef/>
      </w:r>
      <w:r>
        <w:t xml:space="preserve"> </w:t>
      </w:r>
      <w:hyperlink r:id="rId14" w:history="1">
        <w:r w:rsidRPr="006611AD">
          <w:rPr>
            <w:rStyle w:val="Hyperlink"/>
            <w:rFonts w:cs="Arial"/>
            <w:sz w:val="18"/>
            <w:szCs w:val="18"/>
          </w:rPr>
          <w:t>http://www.cdc.gov/ncbddd/disabilityandhealth/family.html</w:t>
        </w:r>
      </w:hyperlink>
    </w:p>
  </w:footnote>
  <w:footnote w:id="18">
    <w:p w:rsidR="00BB0D96" w:rsidRPr="00007AA0" w:rsidRDefault="00BB0D96" w:rsidP="002A4018">
      <w:pPr>
        <w:spacing w:before="100" w:beforeAutospacing="1" w:after="100" w:afterAutospacing="1" w:line="240" w:lineRule="auto"/>
        <w:ind w:left="180" w:hanging="180"/>
        <w:rPr>
          <w:rFonts w:eastAsia="Times New Roman" w:cs="Arial"/>
          <w:sz w:val="18"/>
          <w:szCs w:val="18"/>
        </w:rPr>
      </w:pPr>
      <w:r>
        <w:rPr>
          <w:rStyle w:val="FootnoteReference"/>
        </w:rPr>
        <w:footnoteRef/>
      </w:r>
      <w:r>
        <w:t xml:space="preserve"> </w:t>
      </w:r>
      <w:r w:rsidRPr="00007AA0">
        <w:rPr>
          <w:rFonts w:eastAsia="Times New Roman" w:cs="Arial"/>
          <w:sz w:val="18"/>
          <w:szCs w:val="18"/>
        </w:rPr>
        <w:t>Adams PF, Kirzinger WK, Martinez ME. Summary health statistics for the U.S. population: National Health Interview Survey; 2012. Vital Health Stat 2013;10</w:t>
      </w:r>
      <w:r>
        <w:rPr>
          <w:rFonts w:eastAsia="Times New Roman" w:cs="Arial"/>
          <w:sz w:val="18"/>
          <w:szCs w:val="18"/>
        </w:rPr>
        <w:t xml:space="preserve"> </w:t>
      </w:r>
      <w:r w:rsidRPr="00007AA0">
        <w:rPr>
          <w:rFonts w:eastAsia="Times New Roman" w:cs="Arial"/>
          <w:sz w:val="18"/>
          <w:szCs w:val="18"/>
        </w:rPr>
        <w:t xml:space="preserve">(259). </w:t>
      </w:r>
    </w:p>
    <w:p w:rsidR="00BB0D96" w:rsidRDefault="00BB0D96" w:rsidP="002A4018">
      <w:pPr>
        <w:pStyle w:val="FootnoteText"/>
      </w:pPr>
    </w:p>
  </w:footnote>
  <w:footnote w:id="19">
    <w:p w:rsidR="00BB0D96" w:rsidRDefault="00BB0D96" w:rsidP="00512525">
      <w:pPr>
        <w:pStyle w:val="FootnoteText"/>
        <w:ind w:left="180" w:hanging="180"/>
      </w:pPr>
      <w:r>
        <w:rPr>
          <w:rStyle w:val="FootnoteReference"/>
        </w:rPr>
        <w:footnoteRef/>
      </w:r>
      <w:r>
        <w:t xml:space="preserve"> Congressional Budget Office, Supplemental Security Income, and Overview,  </w:t>
      </w:r>
      <w:hyperlink r:id="rId15" w:history="1">
        <w:r w:rsidRPr="005B79A6">
          <w:rPr>
            <w:rStyle w:val="Hyperlink"/>
          </w:rPr>
          <w:t>http://www.cbo.gov/sites/default/files/cbofiles/attachments/43759-SupplementalSecurity.pdf</w:t>
        </w:r>
      </w:hyperlink>
    </w:p>
  </w:footnote>
  <w:footnote w:id="20">
    <w:p w:rsidR="00BB0D96" w:rsidRDefault="00BB0D96" w:rsidP="00B7384C">
      <w:pPr>
        <w:pStyle w:val="FootnoteText"/>
      </w:pPr>
      <w:r>
        <w:rPr>
          <w:rStyle w:val="FootnoteReference"/>
        </w:rPr>
        <w:footnoteRef/>
      </w:r>
      <w:r>
        <w:t xml:space="preserve"> </w:t>
      </w:r>
      <w:hyperlink r:id="rId16" w:history="1">
        <w:r w:rsidRPr="00E65901">
          <w:rPr>
            <w:rStyle w:val="Hyperlink"/>
          </w:rPr>
          <w:t>http://healthypeople.gov/2020/topicsobjectives2020/objectiveslist.aspx?topicId=9</w:t>
        </w:r>
      </w:hyperlink>
    </w:p>
  </w:footnote>
  <w:footnote w:id="21">
    <w:p w:rsidR="00BB0D96" w:rsidRPr="00FA564E" w:rsidRDefault="00BB0D96" w:rsidP="00FA564E">
      <w:pPr>
        <w:pStyle w:val="FootnoteText"/>
        <w:ind w:left="180" w:hanging="180"/>
        <w:rPr>
          <w:rFonts w:cs="Arial"/>
          <w:sz w:val="18"/>
          <w:szCs w:val="18"/>
        </w:rPr>
      </w:pPr>
      <w:r w:rsidRPr="009F476A">
        <w:rPr>
          <w:rStyle w:val="FootnoteReference"/>
          <w:sz w:val="18"/>
          <w:szCs w:val="18"/>
        </w:rPr>
        <w:footnoteRef/>
      </w:r>
      <w:r w:rsidRPr="009F476A">
        <w:rPr>
          <w:sz w:val="18"/>
          <w:szCs w:val="18"/>
        </w:rPr>
        <w:t xml:space="preserve"> </w:t>
      </w:r>
      <w:r w:rsidRPr="00FA564E">
        <w:rPr>
          <w:rFonts w:cs="Arial"/>
          <w:sz w:val="18"/>
          <w:szCs w:val="18"/>
        </w:rPr>
        <w:t xml:space="preserve">Civil Rights Data Collection (CRDC), Department of Education, Office for Civil Rights, </w:t>
      </w:r>
      <w:hyperlink r:id="rId17" w:history="1">
        <w:r w:rsidRPr="00FA564E">
          <w:rPr>
            <w:rStyle w:val="Hyperlink"/>
            <w:rFonts w:cs="Arial"/>
            <w:sz w:val="18"/>
            <w:szCs w:val="18"/>
          </w:rPr>
          <w:t>http://www2.ed.gov/about/offices/list/ocr/data.html</w:t>
        </w:r>
      </w:hyperlink>
    </w:p>
    <w:p w:rsidR="00BB0D96" w:rsidRPr="00FA564E" w:rsidRDefault="00BB0D96" w:rsidP="00FA564E">
      <w:pPr>
        <w:pStyle w:val="FootnoteText"/>
        <w:rPr>
          <w:rFonts w:cs="Arial"/>
          <w:sz w:val="4"/>
          <w:szCs w:val="4"/>
        </w:rPr>
      </w:pPr>
    </w:p>
  </w:footnote>
  <w:footnote w:id="22">
    <w:p w:rsidR="00BB0D96" w:rsidRPr="009F476A" w:rsidRDefault="00BB0D96" w:rsidP="00FA564E">
      <w:pPr>
        <w:pStyle w:val="FootnoteText"/>
        <w:ind w:left="180" w:hanging="180"/>
        <w:rPr>
          <w:sz w:val="18"/>
          <w:szCs w:val="18"/>
        </w:rPr>
      </w:pPr>
      <w:r w:rsidRPr="00FA564E">
        <w:rPr>
          <w:rStyle w:val="FootnoteReference"/>
          <w:rFonts w:cs="Arial"/>
          <w:sz w:val="18"/>
          <w:szCs w:val="18"/>
        </w:rPr>
        <w:footnoteRef/>
      </w:r>
      <w:r w:rsidRPr="00FA564E">
        <w:rPr>
          <w:rFonts w:cs="Arial"/>
          <w:sz w:val="18"/>
          <w:szCs w:val="18"/>
        </w:rPr>
        <w:t xml:space="preserve">  Civil Rights Collection, Wide-ranging education access  and equity data from a sample of our nation’s public schools,  </w:t>
      </w:r>
      <w:hyperlink r:id="rId18" w:history="1">
        <w:r w:rsidRPr="00FA564E">
          <w:rPr>
            <w:rStyle w:val="Hyperlink"/>
            <w:rFonts w:cs="Arial"/>
            <w:sz w:val="18"/>
            <w:szCs w:val="18"/>
          </w:rPr>
          <w:t>http://www.msn.com/?pc=skyp&amp;ocid=skydhp</w:t>
        </w:r>
      </w:hyperlink>
    </w:p>
  </w:footnote>
  <w:footnote w:id="23">
    <w:p w:rsidR="00BB0D96" w:rsidRDefault="00BB0D96" w:rsidP="00FA564E">
      <w:pPr>
        <w:pStyle w:val="FootnoteText"/>
        <w:ind w:left="180" w:hanging="180"/>
        <w:rPr>
          <w:rFonts w:cs="Arial"/>
          <w:sz w:val="18"/>
          <w:szCs w:val="18"/>
        </w:rPr>
      </w:pPr>
      <w:r w:rsidRPr="009F476A">
        <w:rPr>
          <w:rStyle w:val="FootnoteReference"/>
          <w:sz w:val="18"/>
          <w:szCs w:val="18"/>
        </w:rPr>
        <w:footnoteRef/>
      </w:r>
      <w:r w:rsidRPr="009F476A">
        <w:rPr>
          <w:sz w:val="18"/>
          <w:szCs w:val="18"/>
        </w:rPr>
        <w:t xml:space="preserve"> </w:t>
      </w:r>
      <w:r>
        <w:rPr>
          <w:rFonts w:cs="Arial"/>
          <w:sz w:val="18"/>
          <w:szCs w:val="18"/>
        </w:rPr>
        <w:t>International Labo</w:t>
      </w:r>
      <w:r w:rsidRPr="00FA564E">
        <w:rPr>
          <w:rFonts w:cs="Arial"/>
          <w:sz w:val="18"/>
          <w:szCs w:val="18"/>
        </w:rPr>
        <w:t xml:space="preserve">r Office, Achieving Equal Employment Opportunities for People with Disabilities through Legislation Guidelines, </w:t>
      </w:r>
    </w:p>
    <w:p w:rsidR="00BB0D96" w:rsidRDefault="00B655D7" w:rsidP="00945259">
      <w:pPr>
        <w:pStyle w:val="FootnoteText"/>
        <w:ind w:left="180"/>
      </w:pPr>
      <w:hyperlink r:id="rId19" w:history="1">
        <w:r w:rsidR="00BB0D96" w:rsidRPr="00FA564E">
          <w:rPr>
            <w:rStyle w:val="Hyperlink"/>
            <w:rFonts w:cs="Arial"/>
            <w:sz w:val="18"/>
            <w:szCs w:val="18"/>
          </w:rPr>
          <w:t>http://www.ilo.org/global/publications/ilo-bookstore/order-online/books/WCMS_091340/lang--en/index.htm</w:t>
        </w:r>
      </w:hyperlink>
    </w:p>
  </w:footnote>
  <w:footnote w:id="24">
    <w:p w:rsidR="00BB0D96" w:rsidRPr="00B675A9" w:rsidRDefault="00BB0D96" w:rsidP="004B5F6F">
      <w:pPr>
        <w:pStyle w:val="Heading1"/>
        <w:spacing w:line="240" w:lineRule="auto"/>
        <w:ind w:left="180" w:hanging="180"/>
        <w:rPr>
          <w:rFonts w:cs="Arial"/>
          <w:sz w:val="18"/>
          <w:szCs w:val="18"/>
        </w:rPr>
      </w:pPr>
      <w:r w:rsidRPr="00B675A9">
        <w:rPr>
          <w:rStyle w:val="FootnoteReference"/>
          <w:rFonts w:cs="Arial"/>
          <w:b w:val="0"/>
          <w:color w:val="auto"/>
          <w:sz w:val="18"/>
          <w:szCs w:val="18"/>
        </w:rPr>
        <w:footnoteRef/>
      </w:r>
      <w:r w:rsidRPr="00B675A9">
        <w:rPr>
          <w:rFonts w:cs="Arial"/>
          <w:color w:val="auto"/>
          <w:sz w:val="18"/>
          <w:szCs w:val="18"/>
        </w:rPr>
        <w:t xml:space="preserve">  </w:t>
      </w:r>
      <w:r w:rsidRPr="00B675A9">
        <w:rPr>
          <w:rFonts w:cs="Arial"/>
          <w:b w:val="0"/>
          <w:color w:val="000000"/>
          <w:sz w:val="18"/>
          <w:szCs w:val="18"/>
        </w:rPr>
        <w:t>A L</w:t>
      </w:r>
      <w:r w:rsidRPr="00B675A9">
        <w:rPr>
          <w:rFonts w:cs="Arial"/>
          <w:b w:val="0"/>
          <w:bCs w:val="0"/>
          <w:color w:val="000000"/>
          <w:sz w:val="18"/>
          <w:szCs w:val="18"/>
        </w:rPr>
        <w:t>ife</w:t>
      </w:r>
      <w:r w:rsidRPr="00B675A9">
        <w:rPr>
          <w:rFonts w:cs="Arial"/>
          <w:b w:val="0"/>
          <w:color w:val="000000"/>
          <w:sz w:val="18"/>
          <w:szCs w:val="18"/>
        </w:rPr>
        <w:t xml:space="preserve"> C</w:t>
      </w:r>
      <w:r w:rsidRPr="00B675A9">
        <w:rPr>
          <w:rFonts w:cs="Arial"/>
          <w:b w:val="0"/>
          <w:bCs w:val="0"/>
          <w:color w:val="000000"/>
          <w:sz w:val="18"/>
          <w:szCs w:val="18"/>
        </w:rPr>
        <w:t xml:space="preserve">ourse Approach to Chronic  Disease,  Epidemiology, </w:t>
      </w:r>
      <w:r w:rsidRPr="00B675A9">
        <w:rPr>
          <w:rFonts w:eastAsia="Times New Roman" w:cs="Arial"/>
          <w:b w:val="0"/>
          <w:color w:val="000000"/>
          <w:kern w:val="36"/>
          <w:sz w:val="18"/>
          <w:szCs w:val="18"/>
        </w:rPr>
        <w:t>Annual Review of Public Health</w:t>
      </w:r>
      <w:r w:rsidRPr="00B675A9">
        <w:rPr>
          <w:rFonts w:cs="Arial"/>
          <w:b w:val="0"/>
          <w:color w:val="000000"/>
          <w:sz w:val="18"/>
          <w:szCs w:val="18"/>
        </w:rPr>
        <w:t xml:space="preserve">, </w:t>
      </w:r>
      <w:r w:rsidRPr="00B675A9">
        <w:rPr>
          <w:rFonts w:eastAsia="Times New Roman" w:cs="Arial"/>
          <w:b w:val="0"/>
          <w:color w:val="000000"/>
          <w:sz w:val="18"/>
          <w:szCs w:val="18"/>
        </w:rPr>
        <w:t>Vol. 26: 1-35 (Volume publication date April 2005)</w:t>
      </w:r>
      <w:r w:rsidRPr="00B675A9">
        <w:rPr>
          <w:rFonts w:cs="Arial"/>
          <w:b w:val="0"/>
          <w:color w:val="000000"/>
          <w:sz w:val="18"/>
          <w:szCs w:val="18"/>
        </w:rPr>
        <w:t xml:space="preserve"> </w:t>
      </w:r>
      <w:r w:rsidRPr="00B675A9">
        <w:rPr>
          <w:rFonts w:eastAsia="Times New Roman" w:cs="Arial"/>
          <w:b w:val="0"/>
          <w:color w:val="000000"/>
          <w:sz w:val="18"/>
          <w:szCs w:val="18"/>
        </w:rPr>
        <w:t>DOI: 10.1146/annurev.publhealth.26.021304.144505</w:t>
      </w:r>
      <w:r w:rsidRPr="00B675A9">
        <w:rPr>
          <w:rFonts w:cs="Arial"/>
          <w:b w:val="0"/>
          <w:color w:val="000000"/>
          <w:sz w:val="18"/>
          <w:szCs w:val="18"/>
        </w:rPr>
        <w:t xml:space="preserve">, </w:t>
      </w:r>
      <w:r w:rsidRPr="00B675A9">
        <w:rPr>
          <w:rFonts w:eastAsia="Times New Roman" w:cs="Arial"/>
          <w:b w:val="0"/>
          <w:color w:val="000000"/>
          <w:sz w:val="18"/>
          <w:szCs w:val="18"/>
        </w:rPr>
        <w:t>John Lynch and George Davey Smith</w:t>
      </w:r>
    </w:p>
  </w:footnote>
  <w:footnote w:id="25">
    <w:p w:rsidR="00BB0D96" w:rsidRPr="00AA352D" w:rsidRDefault="00BB0D96">
      <w:pPr>
        <w:pStyle w:val="FootnoteText"/>
        <w:rPr>
          <w:rFonts w:cs="Arial"/>
          <w:sz w:val="18"/>
          <w:szCs w:val="18"/>
        </w:rPr>
      </w:pPr>
      <w:r w:rsidRPr="00AA352D">
        <w:rPr>
          <w:rStyle w:val="FootnoteReference"/>
          <w:rFonts w:cs="Arial"/>
          <w:sz w:val="18"/>
          <w:szCs w:val="18"/>
        </w:rPr>
        <w:footnoteRef/>
      </w:r>
      <w:r w:rsidRPr="00AA352D">
        <w:rPr>
          <w:rFonts w:cs="Arial"/>
          <w:sz w:val="18"/>
          <w:szCs w:val="18"/>
        </w:rPr>
        <w:t xml:space="preserve"> </w:t>
      </w:r>
      <w:r>
        <w:rPr>
          <w:rFonts w:cs="Arial"/>
          <w:sz w:val="18"/>
          <w:szCs w:val="18"/>
        </w:rPr>
        <w:t xml:space="preserve"> </w:t>
      </w:r>
      <w:hyperlink r:id="rId20" w:history="1">
        <w:r w:rsidRPr="00AA352D">
          <w:rPr>
            <w:rStyle w:val="Hyperlink"/>
            <w:rFonts w:cs="Arial"/>
            <w:sz w:val="18"/>
            <w:szCs w:val="18"/>
          </w:rPr>
          <w:t>http://www.annualreviews.org/doi/abs/10.1146/annurev.publhealth.26.021304.144505?journalCode=publhealth</w:t>
        </w:r>
      </w:hyperlink>
    </w:p>
  </w:footnote>
  <w:footnote w:id="26">
    <w:p w:rsidR="00BB0D96" w:rsidRPr="00AA352D" w:rsidRDefault="00BB0D96" w:rsidP="004B5F6F">
      <w:pPr>
        <w:pStyle w:val="FootnoteText"/>
        <w:rPr>
          <w:rFonts w:cs="Arial"/>
          <w:sz w:val="18"/>
          <w:szCs w:val="18"/>
        </w:rPr>
      </w:pPr>
      <w:r w:rsidRPr="00AA352D">
        <w:rPr>
          <w:rStyle w:val="FootnoteReference"/>
          <w:rFonts w:cs="Arial"/>
          <w:sz w:val="18"/>
          <w:szCs w:val="18"/>
        </w:rPr>
        <w:footnoteRef/>
      </w:r>
      <w:r w:rsidRPr="00AA352D">
        <w:rPr>
          <w:rFonts w:cs="Arial"/>
          <w:sz w:val="18"/>
          <w:szCs w:val="18"/>
        </w:rPr>
        <w:t xml:space="preserve">  </w:t>
      </w:r>
      <w:hyperlink r:id="rId21" w:history="1">
        <w:r w:rsidRPr="00AA352D">
          <w:rPr>
            <w:rStyle w:val="Hyperlink"/>
            <w:rFonts w:cs="Arial"/>
            <w:sz w:val="18"/>
            <w:szCs w:val="18"/>
          </w:rPr>
          <w:t>http://www.opi.mt.gov/pdf/speced/sedata/09ChildCountData.pdf</w:t>
        </w:r>
      </w:hyperlink>
    </w:p>
  </w:footnote>
  <w:footnote w:id="27">
    <w:p w:rsidR="00BB0D96" w:rsidRDefault="00BB0D96" w:rsidP="001A28E9">
      <w:pPr>
        <w:pStyle w:val="FootnoteText"/>
        <w:rPr>
          <w:sz w:val="18"/>
          <w:szCs w:val="18"/>
        </w:rPr>
      </w:pPr>
      <w:r w:rsidRPr="00AA352D">
        <w:rPr>
          <w:rStyle w:val="FootnoteReference"/>
          <w:rFonts w:cs="Arial"/>
          <w:sz w:val="18"/>
          <w:szCs w:val="18"/>
        </w:rPr>
        <w:footnoteRef/>
      </w:r>
      <w:r w:rsidRPr="00AA352D">
        <w:rPr>
          <w:rFonts w:cs="Arial"/>
          <w:sz w:val="18"/>
          <w:szCs w:val="18"/>
        </w:rPr>
        <w:t xml:space="preserve">  </w:t>
      </w:r>
      <w:hyperlink r:id="rId22" w:history="1">
        <w:r w:rsidRPr="00AA352D">
          <w:rPr>
            <w:rStyle w:val="Hyperlink"/>
            <w:rFonts w:cs="Arial"/>
            <w:sz w:val="18"/>
            <w:szCs w:val="18"/>
          </w:rPr>
          <w:t>http://www.dphhs.mt.gov/publichealth/cshs/fundingandgoals.shtml</w:t>
        </w:r>
      </w:hyperlink>
    </w:p>
  </w:footnote>
  <w:footnote w:id="28">
    <w:p w:rsidR="00BB0D96" w:rsidRPr="0075250F" w:rsidRDefault="00BB0D96" w:rsidP="001A28E9">
      <w:pPr>
        <w:pStyle w:val="FootnoteText"/>
        <w:rPr>
          <w:rFonts w:cs="Arial"/>
          <w:sz w:val="18"/>
          <w:szCs w:val="18"/>
        </w:rPr>
      </w:pPr>
      <w:r w:rsidRPr="0075250F">
        <w:rPr>
          <w:rStyle w:val="FootnoteReference"/>
          <w:rFonts w:cs="Arial"/>
          <w:sz w:val="18"/>
          <w:szCs w:val="18"/>
        </w:rPr>
        <w:footnoteRef/>
      </w:r>
      <w:r w:rsidRPr="0075250F">
        <w:rPr>
          <w:rFonts w:cs="Arial"/>
          <w:sz w:val="18"/>
          <w:szCs w:val="18"/>
        </w:rPr>
        <w:t xml:space="preserve"> </w:t>
      </w:r>
      <w:r>
        <w:rPr>
          <w:rFonts w:cs="Arial"/>
          <w:sz w:val="18"/>
          <w:szCs w:val="18"/>
        </w:rPr>
        <w:t xml:space="preserve"> </w:t>
      </w:r>
      <w:r w:rsidRPr="0075250F">
        <w:rPr>
          <w:rFonts w:cs="Arial"/>
          <w:sz w:val="18"/>
          <w:szCs w:val="18"/>
        </w:rPr>
        <w:t xml:space="preserve">Montana’s Expanded Newborn Screening:  </w:t>
      </w:r>
      <w:hyperlink r:id="rId23" w:history="1">
        <w:r w:rsidRPr="0075250F">
          <w:rPr>
            <w:rStyle w:val="Hyperlink"/>
            <w:rFonts w:cs="Arial"/>
            <w:sz w:val="18"/>
            <w:szCs w:val="18"/>
          </w:rPr>
          <w:t>www.mt.gov</w:t>
        </w:r>
      </w:hyperlink>
      <w:r w:rsidRPr="0075250F">
        <w:rPr>
          <w:rFonts w:cs="Arial"/>
          <w:sz w:val="18"/>
          <w:szCs w:val="18"/>
        </w:rPr>
        <w:t xml:space="preserve"> </w:t>
      </w:r>
    </w:p>
  </w:footnote>
  <w:footnote w:id="29">
    <w:p w:rsidR="00BB0D96" w:rsidRPr="00A37288" w:rsidRDefault="00BB0D96" w:rsidP="0075250F">
      <w:pPr>
        <w:spacing w:after="0" w:line="240" w:lineRule="auto"/>
        <w:ind w:left="270" w:hanging="270"/>
        <w:rPr>
          <w:rFonts w:cs="Arial"/>
          <w:sz w:val="18"/>
          <w:szCs w:val="18"/>
        </w:rPr>
      </w:pPr>
      <w:r w:rsidRPr="0075250F">
        <w:rPr>
          <w:rStyle w:val="FootnoteReference"/>
          <w:rFonts w:cs="Arial"/>
          <w:sz w:val="18"/>
          <w:szCs w:val="18"/>
        </w:rPr>
        <w:footnoteRef/>
      </w:r>
      <w:r w:rsidRPr="0075250F">
        <w:rPr>
          <w:rFonts w:cs="Arial"/>
          <w:sz w:val="18"/>
          <w:szCs w:val="18"/>
        </w:rPr>
        <w:t xml:space="preserve"> </w:t>
      </w:r>
      <w:r>
        <w:rPr>
          <w:rFonts w:cs="Arial"/>
          <w:sz w:val="18"/>
          <w:szCs w:val="18"/>
        </w:rPr>
        <w:t xml:space="preserve"> </w:t>
      </w:r>
      <w:r w:rsidRPr="00A37288">
        <w:rPr>
          <w:rFonts w:eastAsia="Times New Roman" w:cs="Arial"/>
          <w:color w:val="242424"/>
          <w:sz w:val="18"/>
          <w:szCs w:val="18"/>
        </w:rPr>
        <w:t xml:space="preserve">Pediatrics 1998;102(1):137–140, A new definition of children with special health care needs, McPherson M, Arango P, Fox H, Lauver C, McManus M, Newacheck P, Perrin J, Shonkoff J, Strickland B. </w:t>
      </w:r>
    </w:p>
  </w:footnote>
  <w:footnote w:id="30">
    <w:p w:rsidR="00BB0D96" w:rsidRPr="00A37288" w:rsidRDefault="00BB0D96" w:rsidP="00A37288">
      <w:pPr>
        <w:pStyle w:val="FootnoteText"/>
        <w:ind w:left="180" w:hanging="180"/>
        <w:rPr>
          <w:rFonts w:cs="Arial"/>
          <w:sz w:val="18"/>
          <w:szCs w:val="18"/>
        </w:rPr>
      </w:pPr>
      <w:r w:rsidRPr="00A37288">
        <w:rPr>
          <w:rStyle w:val="FootnoteReference"/>
          <w:rFonts w:cs="Arial"/>
          <w:sz w:val="18"/>
          <w:szCs w:val="18"/>
        </w:rPr>
        <w:footnoteRef/>
      </w:r>
      <w:r w:rsidRPr="00A37288">
        <w:rPr>
          <w:rFonts w:cs="Arial"/>
          <w:sz w:val="18"/>
          <w:szCs w:val="18"/>
        </w:rPr>
        <w:t xml:space="preserve"> </w:t>
      </w:r>
      <w:r>
        <w:rPr>
          <w:rFonts w:cs="Arial"/>
          <w:sz w:val="18"/>
          <w:szCs w:val="18"/>
        </w:rPr>
        <w:t xml:space="preserve"> </w:t>
      </w:r>
      <w:hyperlink r:id="rId24" w:history="1">
        <w:r w:rsidRPr="00A37288">
          <w:rPr>
            <w:rStyle w:val="Hyperlink"/>
            <w:rFonts w:cs="Arial"/>
            <w:sz w:val="18"/>
            <w:szCs w:val="18"/>
          </w:rPr>
          <w:t>http://altarum.cvent.com/events/dataspeak-registration/event-summary-5041e07bfce543eb9e1f405f9ad19a2e.aspx</w:t>
        </w:r>
      </w:hyperlink>
    </w:p>
  </w:footnote>
  <w:footnote w:id="31">
    <w:p w:rsidR="00BB0D96" w:rsidRPr="00A37288" w:rsidRDefault="00BB0D96" w:rsidP="001A28E9">
      <w:pPr>
        <w:pStyle w:val="FootnoteText"/>
        <w:rPr>
          <w:rFonts w:cs="Arial"/>
          <w:sz w:val="18"/>
          <w:szCs w:val="18"/>
        </w:rPr>
      </w:pPr>
      <w:r w:rsidRPr="00A37288">
        <w:rPr>
          <w:rStyle w:val="FootnoteReference"/>
          <w:rFonts w:cs="Arial"/>
          <w:sz w:val="18"/>
          <w:szCs w:val="18"/>
        </w:rPr>
        <w:footnoteRef/>
      </w:r>
      <w:r w:rsidRPr="00A37288">
        <w:rPr>
          <w:rFonts w:cs="Arial"/>
          <w:sz w:val="18"/>
          <w:szCs w:val="18"/>
        </w:rPr>
        <w:t xml:space="preserve"> </w:t>
      </w:r>
      <w:r>
        <w:rPr>
          <w:rFonts w:cs="Arial"/>
          <w:sz w:val="18"/>
          <w:szCs w:val="18"/>
        </w:rPr>
        <w:t xml:space="preserve"> </w:t>
      </w:r>
      <w:r w:rsidRPr="00A37288">
        <w:rPr>
          <w:rFonts w:cs="Arial"/>
          <w:color w:val="000000"/>
          <w:sz w:val="18"/>
          <w:szCs w:val="18"/>
        </w:rPr>
        <w:t>Data Resource Center for Child and Adolescent Health (DRC)</w:t>
      </w:r>
      <w:r w:rsidRPr="00A37288">
        <w:rPr>
          <w:rFonts w:cs="Arial"/>
          <w:sz w:val="18"/>
          <w:szCs w:val="18"/>
        </w:rPr>
        <w:t xml:space="preserve"> </w:t>
      </w:r>
      <w:hyperlink r:id="rId25" w:history="1">
        <w:r w:rsidRPr="00A37288">
          <w:rPr>
            <w:rStyle w:val="Hyperlink"/>
            <w:rFonts w:cs="Arial"/>
            <w:sz w:val="18"/>
            <w:szCs w:val="18"/>
          </w:rPr>
          <w:t>http://childhealthdata.org/browse/survey?s=2</w:t>
        </w:r>
      </w:hyperlink>
    </w:p>
  </w:footnote>
  <w:footnote w:id="32">
    <w:p w:rsidR="00B66BC2" w:rsidRDefault="00B66BC2" w:rsidP="00B66BC2">
      <w:pPr>
        <w:pStyle w:val="FootnoteText"/>
        <w:ind w:left="180" w:hanging="180"/>
        <w:rPr>
          <w:sz w:val="18"/>
          <w:szCs w:val="18"/>
        </w:rPr>
      </w:pPr>
      <w:r w:rsidRPr="00A37288">
        <w:rPr>
          <w:rStyle w:val="FootnoteReference"/>
          <w:rFonts w:cs="Arial"/>
          <w:sz w:val="18"/>
          <w:szCs w:val="18"/>
        </w:rPr>
        <w:footnoteRef/>
      </w:r>
      <w:r w:rsidRPr="00A37288">
        <w:rPr>
          <w:rFonts w:cs="Arial"/>
          <w:sz w:val="18"/>
          <w:szCs w:val="18"/>
        </w:rPr>
        <w:t xml:space="preserve">  Children with Special Health Care Needs in Context: A Portrait of States and the Nation 2007, </w:t>
      </w:r>
      <w:hyperlink r:id="rId26" w:history="1">
        <w:r w:rsidRPr="00A37288">
          <w:rPr>
            <w:rStyle w:val="Hyperlink"/>
            <w:rFonts w:cs="Arial"/>
            <w:sz w:val="18"/>
            <w:szCs w:val="18"/>
          </w:rPr>
          <w:t>http://mchb.hrsa.gov/nsch/07cshcn/index.html</w:t>
        </w:r>
      </w:hyperlink>
    </w:p>
  </w:footnote>
  <w:footnote w:id="33">
    <w:p w:rsidR="00BB0D96" w:rsidRDefault="00BB0D96" w:rsidP="00DE3CAF">
      <w:pPr>
        <w:pStyle w:val="FootnoteText"/>
        <w:ind w:left="180" w:hanging="180"/>
      </w:pPr>
      <w:r>
        <w:rPr>
          <w:rStyle w:val="FootnoteReference"/>
        </w:rPr>
        <w:footnoteRef/>
      </w:r>
      <w:r>
        <w:t xml:space="preserve"> National Dissemination Center for Children with Disabilities,   </w:t>
      </w:r>
      <w:hyperlink r:id="rId27" w:history="1">
        <w:r w:rsidRPr="00DE3CAF">
          <w:rPr>
            <w:rStyle w:val="Hyperlink"/>
          </w:rPr>
          <w:t>http://www.</w:t>
        </w:r>
        <w:r w:rsidRPr="00DE3CAF">
          <w:rPr>
            <w:rStyle w:val="Hyperlink"/>
            <w:rFonts w:cs="Arial"/>
            <w:sz w:val="18"/>
            <w:szCs w:val="18"/>
          </w:rPr>
          <w:t>parentcenterhub</w:t>
        </w:r>
        <w:r w:rsidRPr="00DE3CAF">
          <w:rPr>
            <w:rStyle w:val="Hyperlink"/>
          </w:rPr>
          <w:t>.org/repository/preschoolers</w:t>
        </w:r>
      </w:hyperlink>
      <w:r>
        <w:t xml:space="preserve"> </w:t>
      </w:r>
    </w:p>
  </w:footnote>
  <w:footnote w:id="34">
    <w:p w:rsidR="00BB0D96" w:rsidRDefault="00BB0D96">
      <w:pPr>
        <w:pStyle w:val="FootnoteText"/>
      </w:pPr>
      <w:r>
        <w:rPr>
          <w:rStyle w:val="FootnoteReference"/>
        </w:rPr>
        <w:footnoteRef/>
      </w:r>
      <w:r>
        <w:t xml:space="preserve"> </w:t>
      </w:r>
      <w:hyperlink r:id="rId28" w:history="1">
        <w:r w:rsidRPr="00E147A0">
          <w:rPr>
            <w:rStyle w:val="Hyperlink"/>
            <w:rFonts w:cs="Arial"/>
            <w:sz w:val="18"/>
            <w:szCs w:val="18"/>
          </w:rPr>
          <w:t>http://specialchildren.about.com/od/Special-Education/a/Special-Education-Services-In-Montana.htm</w:t>
        </w:r>
      </w:hyperlink>
    </w:p>
  </w:footnote>
  <w:footnote w:id="35">
    <w:p w:rsidR="00BB0D96" w:rsidRDefault="00BB0D96">
      <w:pPr>
        <w:pStyle w:val="FootnoteText"/>
      </w:pPr>
      <w:r>
        <w:rPr>
          <w:rStyle w:val="FootnoteReference"/>
        </w:rPr>
        <w:footnoteRef/>
      </w:r>
      <w:r>
        <w:t xml:space="preserve"> </w:t>
      </w:r>
      <w:hyperlink r:id="rId29" w:history="1">
        <w:r w:rsidRPr="00BB69EA">
          <w:rPr>
            <w:rStyle w:val="Hyperlink"/>
          </w:rPr>
          <w:t>http://nces.ed.gov/programs/coe/pdf/coe_cgg.pdf</w:t>
        </w:r>
      </w:hyperlink>
    </w:p>
  </w:footnote>
  <w:footnote w:id="36">
    <w:p w:rsidR="00BB0D96" w:rsidRPr="00EC03A0" w:rsidRDefault="00BB0D96" w:rsidP="00514FCC">
      <w:pPr>
        <w:autoSpaceDE w:val="0"/>
        <w:autoSpaceDN w:val="0"/>
        <w:adjustRightInd w:val="0"/>
        <w:spacing w:after="0"/>
        <w:rPr>
          <w:rFonts w:eastAsiaTheme="minorHAnsi" w:cs="Arial"/>
          <w:color w:val="000000" w:themeColor="text1"/>
          <w:sz w:val="18"/>
          <w:szCs w:val="18"/>
        </w:rPr>
      </w:pPr>
      <w:r>
        <w:rPr>
          <w:rStyle w:val="FootnoteReference"/>
        </w:rPr>
        <w:footnoteRef/>
      </w:r>
      <w:r>
        <w:t xml:space="preserve">  </w:t>
      </w:r>
      <w:hyperlink r:id="rId30" w:history="1">
        <w:r w:rsidRPr="00EC03A0">
          <w:rPr>
            <w:rStyle w:val="Hyperlink"/>
            <w:rFonts w:eastAsiaTheme="minorHAnsi" w:cs="Arial"/>
            <w:sz w:val="18"/>
            <w:szCs w:val="18"/>
          </w:rPr>
          <w:t>http://opi.mt.gov/Programs/SpecialEd/</w:t>
        </w:r>
      </w:hyperlink>
    </w:p>
    <w:p w:rsidR="00BB0D96" w:rsidRPr="00541BC1" w:rsidRDefault="00BB0D96">
      <w:pPr>
        <w:pStyle w:val="FootnoteText"/>
        <w:rPr>
          <w:sz w:val="2"/>
          <w:szCs w:val="2"/>
        </w:rPr>
      </w:pPr>
    </w:p>
  </w:footnote>
  <w:footnote w:id="37">
    <w:p w:rsidR="00BB0D96" w:rsidRPr="00541BC1" w:rsidRDefault="00BB0D96">
      <w:pPr>
        <w:pStyle w:val="FootnoteText"/>
        <w:rPr>
          <w:rFonts w:cs="Arial"/>
          <w:sz w:val="18"/>
          <w:szCs w:val="18"/>
        </w:rPr>
      </w:pPr>
      <w:r>
        <w:rPr>
          <w:rStyle w:val="FootnoteReference"/>
        </w:rPr>
        <w:footnoteRef/>
      </w:r>
      <w:r>
        <w:t xml:space="preserve"> </w:t>
      </w:r>
      <w:r w:rsidRPr="00541BC1">
        <w:rPr>
          <w:rFonts w:cs="Arial"/>
          <w:sz w:val="18"/>
          <w:szCs w:val="18"/>
        </w:rPr>
        <w:t>Montana</w:t>
      </w:r>
      <w:r>
        <w:t xml:space="preserve">  </w:t>
      </w:r>
      <w:hyperlink r:id="rId31" w:history="1">
        <w:r w:rsidRPr="00541BC1">
          <w:rPr>
            <w:rStyle w:val="Hyperlink"/>
            <w:rFonts w:cs="Arial"/>
            <w:sz w:val="18"/>
            <w:szCs w:val="18"/>
          </w:rPr>
          <w:t>http://www.cdc.gov/obesity/stateprograms/fundedstates/pdf/Montana-State-Profile.pdf</w:t>
        </w:r>
      </w:hyperlink>
    </w:p>
  </w:footnote>
  <w:footnote w:id="38">
    <w:p w:rsidR="00BB0D96" w:rsidRPr="009F476A" w:rsidRDefault="00BB0D96" w:rsidP="00993649">
      <w:pPr>
        <w:pStyle w:val="FootnoteText"/>
        <w:ind w:left="180" w:hanging="180"/>
        <w:rPr>
          <w:sz w:val="18"/>
          <w:szCs w:val="18"/>
        </w:rPr>
      </w:pPr>
      <w:r w:rsidRPr="009F476A">
        <w:rPr>
          <w:rStyle w:val="FootnoteReference"/>
          <w:sz w:val="18"/>
          <w:szCs w:val="18"/>
        </w:rPr>
        <w:footnoteRef/>
      </w:r>
      <w:r w:rsidRPr="009F476A">
        <w:rPr>
          <w:sz w:val="18"/>
          <w:szCs w:val="18"/>
        </w:rPr>
        <w:t xml:space="preserve"> Civil Rights Data Collection (CRDC), Department of Education, Office for Civil Rights, </w:t>
      </w:r>
      <w:hyperlink r:id="rId32" w:history="1">
        <w:r w:rsidRPr="009F476A">
          <w:rPr>
            <w:rStyle w:val="Hyperlink"/>
            <w:sz w:val="18"/>
            <w:szCs w:val="18"/>
          </w:rPr>
          <w:t>http://www2.ed.gov/about/offices/list/ocr/data.html</w:t>
        </w:r>
      </w:hyperlink>
    </w:p>
    <w:p w:rsidR="00BB0D96" w:rsidRPr="009F476A" w:rsidRDefault="00BB0D96" w:rsidP="00993649">
      <w:pPr>
        <w:pStyle w:val="FootnoteText"/>
        <w:rPr>
          <w:sz w:val="2"/>
          <w:szCs w:val="2"/>
        </w:rPr>
      </w:pPr>
    </w:p>
  </w:footnote>
  <w:footnote w:id="39">
    <w:p w:rsidR="00BB0D96" w:rsidRPr="009F476A" w:rsidRDefault="00BB0D96" w:rsidP="00993649">
      <w:pPr>
        <w:pStyle w:val="FootnoteText"/>
        <w:ind w:left="180" w:hanging="180"/>
        <w:rPr>
          <w:sz w:val="18"/>
          <w:szCs w:val="18"/>
        </w:rPr>
      </w:pPr>
      <w:r w:rsidRPr="009F476A">
        <w:rPr>
          <w:rStyle w:val="FootnoteReference"/>
          <w:sz w:val="18"/>
          <w:szCs w:val="18"/>
        </w:rPr>
        <w:footnoteRef/>
      </w:r>
      <w:r w:rsidRPr="009F476A">
        <w:rPr>
          <w:sz w:val="18"/>
          <w:szCs w:val="18"/>
        </w:rPr>
        <w:t xml:space="preserve">  Civil Rights Collection, Wide-ranging education access  and equity data from a sample of our nation’s public schools,  </w:t>
      </w:r>
      <w:hyperlink r:id="rId33" w:history="1">
        <w:r w:rsidRPr="009F476A">
          <w:rPr>
            <w:rStyle w:val="Hyperlink"/>
            <w:sz w:val="18"/>
            <w:szCs w:val="18"/>
          </w:rPr>
          <w:t>http://www.msn.com/?pc=skyp&amp;ocid=skydhp</w:t>
        </w:r>
      </w:hyperlink>
    </w:p>
  </w:footnote>
  <w:footnote w:id="40">
    <w:p w:rsidR="00BB0D96" w:rsidRDefault="00BB0D96" w:rsidP="00993649">
      <w:pPr>
        <w:pStyle w:val="FootnoteText"/>
        <w:ind w:left="180" w:hanging="180"/>
      </w:pPr>
      <w:r w:rsidRPr="009F476A">
        <w:rPr>
          <w:rStyle w:val="FootnoteReference"/>
          <w:sz w:val="18"/>
          <w:szCs w:val="18"/>
        </w:rPr>
        <w:footnoteRef/>
      </w:r>
      <w:r>
        <w:rPr>
          <w:sz w:val="18"/>
          <w:szCs w:val="18"/>
        </w:rPr>
        <w:t xml:space="preserve"> International Labo</w:t>
      </w:r>
      <w:r w:rsidRPr="009F476A">
        <w:rPr>
          <w:sz w:val="18"/>
          <w:szCs w:val="18"/>
        </w:rPr>
        <w:t>r Office, Achieving Equal Employment Opportunities for People with D</w:t>
      </w:r>
      <w:r>
        <w:rPr>
          <w:sz w:val="18"/>
          <w:szCs w:val="18"/>
        </w:rPr>
        <w:t xml:space="preserve">isabilities through Legislation </w:t>
      </w:r>
      <w:r w:rsidRPr="009F476A">
        <w:rPr>
          <w:sz w:val="18"/>
          <w:szCs w:val="18"/>
        </w:rPr>
        <w:t xml:space="preserve">Guidelines, </w:t>
      </w:r>
      <w:hyperlink r:id="rId34" w:history="1">
        <w:r w:rsidRPr="009F476A">
          <w:rPr>
            <w:rStyle w:val="Hyperlink"/>
            <w:sz w:val="18"/>
            <w:szCs w:val="18"/>
          </w:rPr>
          <w:t>http://www.ilo.org/global/publications/ilo-bookstore/order-online/books/WCMS_091340/lang--en/index.htm</w:t>
        </w:r>
      </w:hyperlink>
    </w:p>
  </w:footnote>
  <w:footnote w:id="41">
    <w:p w:rsidR="00BB0D96" w:rsidRPr="00F00355" w:rsidRDefault="00BB0D96" w:rsidP="00406F5F">
      <w:pPr>
        <w:pStyle w:val="FootnoteText"/>
        <w:ind w:left="180" w:hanging="180"/>
        <w:rPr>
          <w:sz w:val="18"/>
          <w:szCs w:val="18"/>
        </w:rPr>
      </w:pPr>
      <w:r w:rsidRPr="00F00355">
        <w:rPr>
          <w:rStyle w:val="FootnoteReference"/>
          <w:sz w:val="18"/>
          <w:szCs w:val="18"/>
        </w:rPr>
        <w:footnoteRef/>
      </w:r>
      <w:r w:rsidRPr="00F00355">
        <w:rPr>
          <w:sz w:val="18"/>
          <w:szCs w:val="18"/>
        </w:rPr>
        <w:t xml:space="preserve"> The Patient Protection and Affordable Health Care Act Section by Section Analysis, Association of University Centers on Disabilities, </w:t>
      </w:r>
      <w:hyperlink r:id="rId35" w:history="1">
        <w:r w:rsidRPr="00F00355">
          <w:rPr>
            <w:rStyle w:val="Hyperlink"/>
            <w:sz w:val="18"/>
            <w:szCs w:val="18"/>
          </w:rPr>
          <w:t>http://www.aucd.org/docs/Section-by-Section%20full.pdf</w:t>
        </w:r>
      </w:hyperlink>
    </w:p>
  </w:footnote>
  <w:footnote w:id="42">
    <w:p w:rsidR="00BB0D96" w:rsidRPr="00F00355" w:rsidRDefault="00BB0D96" w:rsidP="00406F5F">
      <w:pPr>
        <w:spacing w:after="0" w:line="240" w:lineRule="auto"/>
        <w:ind w:left="180" w:hanging="180"/>
        <w:rPr>
          <w:sz w:val="18"/>
          <w:szCs w:val="18"/>
        </w:rPr>
      </w:pPr>
      <w:r w:rsidRPr="00F00355">
        <w:rPr>
          <w:rStyle w:val="FootnoteReference"/>
          <w:sz w:val="18"/>
          <w:szCs w:val="18"/>
        </w:rPr>
        <w:footnoteRef/>
      </w:r>
      <w:r w:rsidRPr="00F00355">
        <w:rPr>
          <w:sz w:val="18"/>
          <w:szCs w:val="18"/>
        </w:rPr>
        <w:t xml:space="preserve">  Providing Individuals with Disabilities the Tools to Live Independently  </w:t>
      </w:r>
      <w:hyperlink r:id="rId36" w:history="1">
        <w:r w:rsidRPr="00F00355">
          <w:rPr>
            <w:rStyle w:val="Hyperlink"/>
            <w:sz w:val="18"/>
            <w:szCs w:val="18"/>
          </w:rPr>
          <w:t>http://harkin.senate.gov/issue/equalrights/Live_Independently.cfm</w:t>
        </w:r>
      </w:hyperlink>
    </w:p>
    <w:p w:rsidR="00BB0D96" w:rsidRPr="00F00355" w:rsidRDefault="00BB0D96" w:rsidP="00406F5F">
      <w:pPr>
        <w:pStyle w:val="FootnoteText"/>
        <w:rPr>
          <w:sz w:val="2"/>
          <w:szCs w:val="2"/>
        </w:rPr>
      </w:pPr>
    </w:p>
  </w:footnote>
  <w:footnote w:id="43">
    <w:p w:rsidR="00BB0D96" w:rsidRPr="00F00355" w:rsidRDefault="00BB0D96" w:rsidP="00406F5F">
      <w:pPr>
        <w:pStyle w:val="FootnoteText"/>
        <w:rPr>
          <w:sz w:val="18"/>
          <w:szCs w:val="18"/>
        </w:rPr>
      </w:pPr>
      <w:r w:rsidRPr="00F00355">
        <w:rPr>
          <w:rStyle w:val="FootnoteReference"/>
          <w:sz w:val="18"/>
          <w:szCs w:val="18"/>
        </w:rPr>
        <w:footnoteRef/>
      </w:r>
      <w:r w:rsidRPr="00F00355">
        <w:rPr>
          <w:sz w:val="18"/>
          <w:szCs w:val="18"/>
        </w:rPr>
        <w:t xml:space="preserve">  National Center on Physical Activity and Disability, </w:t>
      </w:r>
      <w:hyperlink r:id="rId37" w:history="1">
        <w:r w:rsidRPr="00F00355">
          <w:rPr>
            <w:rStyle w:val="Hyperlink"/>
            <w:sz w:val="18"/>
            <w:szCs w:val="18"/>
          </w:rPr>
          <w:t>http://www.ncpad.org/</w:t>
        </w:r>
      </w:hyperlink>
    </w:p>
  </w:footnote>
  <w:footnote w:id="44">
    <w:p w:rsidR="00BB0D96" w:rsidRPr="00417398" w:rsidRDefault="00BB0D96" w:rsidP="00406F5F">
      <w:pPr>
        <w:pStyle w:val="FootnoteText"/>
        <w:ind w:left="180" w:hanging="180"/>
        <w:rPr>
          <w:sz w:val="18"/>
          <w:szCs w:val="18"/>
        </w:rPr>
      </w:pPr>
      <w:r w:rsidRPr="00417398">
        <w:rPr>
          <w:rStyle w:val="FootnoteReference"/>
          <w:sz w:val="18"/>
          <w:szCs w:val="18"/>
        </w:rPr>
        <w:footnoteRef/>
      </w:r>
      <w:r w:rsidRPr="00417398">
        <w:rPr>
          <w:sz w:val="18"/>
          <w:szCs w:val="18"/>
        </w:rPr>
        <w:t xml:space="preserve"> </w:t>
      </w:r>
      <w:r>
        <w:rPr>
          <w:sz w:val="18"/>
          <w:szCs w:val="18"/>
        </w:rPr>
        <w:t xml:space="preserve"> </w:t>
      </w:r>
      <w:r w:rsidRPr="00417398">
        <w:rPr>
          <w:sz w:val="18"/>
          <w:szCs w:val="18"/>
        </w:rPr>
        <w:t>Intellectual Disability: Definition, Classification, and Systems of Support, 11</w:t>
      </w:r>
      <w:r w:rsidRPr="00417398">
        <w:rPr>
          <w:sz w:val="18"/>
          <w:szCs w:val="18"/>
          <w:vertAlign w:val="superscript"/>
        </w:rPr>
        <w:t>th</w:t>
      </w:r>
      <w:r w:rsidRPr="00417398">
        <w:rPr>
          <w:sz w:val="18"/>
          <w:szCs w:val="18"/>
        </w:rPr>
        <w:t xml:space="preserve"> Edition </w:t>
      </w:r>
      <w:hyperlink r:id="rId38" w:history="1">
        <w:r w:rsidRPr="00417398">
          <w:rPr>
            <w:rStyle w:val="Hyperlink"/>
            <w:sz w:val="18"/>
            <w:szCs w:val="18"/>
          </w:rPr>
          <w:t>http://www.aaidd.org/intellectualdisabilitybook/</w:t>
        </w:r>
      </w:hyperlink>
    </w:p>
  </w:footnote>
  <w:footnote w:id="45">
    <w:p w:rsidR="00BB0D96" w:rsidRPr="00553246" w:rsidRDefault="00BB0D96" w:rsidP="00406F5F">
      <w:pPr>
        <w:spacing w:after="0" w:line="240" w:lineRule="auto"/>
        <w:ind w:left="180" w:hanging="180"/>
        <w:rPr>
          <w:rFonts w:eastAsia="Times New Roman" w:cstheme="minorHAnsi"/>
          <w:sz w:val="23"/>
          <w:szCs w:val="23"/>
        </w:rPr>
      </w:pPr>
      <w:r w:rsidRPr="00892B42">
        <w:rPr>
          <w:rStyle w:val="FootnoteReference"/>
          <w:sz w:val="18"/>
          <w:szCs w:val="18"/>
        </w:rPr>
        <w:footnoteRef/>
      </w:r>
      <w:r w:rsidRPr="00892B42">
        <w:rPr>
          <w:sz w:val="18"/>
          <w:szCs w:val="18"/>
        </w:rPr>
        <w:t xml:space="preserve">  </w:t>
      </w:r>
      <w:r w:rsidRPr="00892B42">
        <w:rPr>
          <w:rFonts w:eastAsia="Times New Roman" w:cstheme="minorHAnsi"/>
          <w:sz w:val="18"/>
          <w:szCs w:val="18"/>
        </w:rPr>
        <w:t xml:space="preserve">For more information on improving data collection to reduce health disparities, click on: </w:t>
      </w:r>
      <w:hyperlink r:id="rId39" w:history="1">
        <w:r w:rsidRPr="00892B42">
          <w:rPr>
            <w:rFonts w:eastAsia="Times New Roman" w:cstheme="minorHAnsi"/>
            <w:color w:val="0000FF"/>
            <w:sz w:val="18"/>
            <w:szCs w:val="18"/>
            <w:u w:val="single"/>
          </w:rPr>
          <w:t>http://www.healthcare.gov/news/factsheets/disparities06292011a.html</w:t>
        </w:r>
      </w:hyperlink>
      <w:r>
        <w:rPr>
          <w:rFonts w:cstheme="minorHAnsi"/>
          <w:sz w:val="20"/>
          <w:szCs w:val="20"/>
        </w:rPr>
        <w:t xml:space="preserve"> </w:t>
      </w:r>
    </w:p>
    <w:p w:rsidR="00BB0D96" w:rsidRPr="00DE0AA6" w:rsidRDefault="00BB0D96" w:rsidP="00406F5F">
      <w:pPr>
        <w:pStyle w:val="FootnoteText"/>
        <w:rPr>
          <w:sz w:val="2"/>
          <w:szCs w:val="2"/>
        </w:rPr>
      </w:pPr>
    </w:p>
  </w:footnote>
  <w:footnote w:id="46">
    <w:p w:rsidR="00BB0D96" w:rsidRPr="00417398" w:rsidRDefault="00BB0D96" w:rsidP="00406F5F">
      <w:pPr>
        <w:pStyle w:val="FootnoteText"/>
        <w:rPr>
          <w:sz w:val="18"/>
          <w:szCs w:val="18"/>
        </w:rPr>
      </w:pPr>
      <w:r w:rsidRPr="00417398">
        <w:rPr>
          <w:rStyle w:val="FootnoteReference"/>
          <w:sz w:val="18"/>
          <w:szCs w:val="18"/>
        </w:rPr>
        <w:footnoteRef/>
      </w:r>
      <w:r w:rsidRPr="00417398">
        <w:rPr>
          <w:sz w:val="18"/>
          <w:szCs w:val="18"/>
        </w:rPr>
        <w:t xml:space="preserve"> </w:t>
      </w:r>
      <w:r>
        <w:rPr>
          <w:sz w:val="18"/>
          <w:szCs w:val="18"/>
        </w:rPr>
        <w:t xml:space="preserve"> </w:t>
      </w:r>
      <w:r w:rsidRPr="00417398">
        <w:rPr>
          <w:sz w:val="18"/>
          <w:szCs w:val="18"/>
        </w:rPr>
        <w:t xml:space="preserve">For more information, click on: </w:t>
      </w:r>
      <w:hyperlink r:id="rId40" w:history="1">
        <w:r w:rsidRPr="00417398">
          <w:rPr>
            <w:rStyle w:val="Hyperlink"/>
            <w:sz w:val="18"/>
            <w:szCs w:val="18"/>
          </w:rPr>
          <w:t>http://ntl.bts.gov/DOCS/livbro.html</w:t>
        </w:r>
      </w:hyperlink>
    </w:p>
  </w:footnote>
  <w:footnote w:id="47">
    <w:p w:rsidR="00BB0D96" w:rsidRPr="00F00355" w:rsidRDefault="00BB0D96" w:rsidP="00406F5F">
      <w:pPr>
        <w:spacing w:after="0"/>
        <w:rPr>
          <w:sz w:val="2"/>
          <w:szCs w:val="2"/>
        </w:rPr>
      </w:pPr>
      <w:r w:rsidRPr="00F00355">
        <w:rPr>
          <w:rStyle w:val="FootnoteReference"/>
          <w:sz w:val="18"/>
          <w:szCs w:val="18"/>
        </w:rPr>
        <w:footnoteRef/>
      </w:r>
      <w:r w:rsidRPr="00F00355">
        <w:rPr>
          <w:sz w:val="18"/>
          <w:szCs w:val="18"/>
        </w:rPr>
        <w:t xml:space="preserve"> </w:t>
      </w:r>
      <w:r>
        <w:rPr>
          <w:sz w:val="18"/>
          <w:szCs w:val="18"/>
        </w:rPr>
        <w:t xml:space="preserve"> </w:t>
      </w:r>
      <w:r w:rsidRPr="00F00355">
        <w:rPr>
          <w:sz w:val="18"/>
          <w:szCs w:val="18"/>
        </w:rPr>
        <w:t xml:space="preserve">Administration on Aging, </w:t>
      </w:r>
      <w:r>
        <w:rPr>
          <w:sz w:val="18"/>
          <w:szCs w:val="18"/>
        </w:rPr>
        <w:t xml:space="preserve">Draft National Options Counseling Standards, </w:t>
      </w:r>
      <w:hyperlink r:id="rId41" w:history="1">
        <w:r w:rsidRPr="006E35DF">
          <w:rPr>
            <w:rStyle w:val="Hyperlink"/>
            <w:sz w:val="18"/>
            <w:szCs w:val="18"/>
          </w:rPr>
          <w:t>www.adrc-tae.org/tiki-wnload_file.php?fileId=29256</w:t>
        </w:r>
      </w:hyperlink>
    </w:p>
  </w:footnote>
  <w:footnote w:id="48">
    <w:p w:rsidR="00BB0D96" w:rsidRPr="00417398" w:rsidRDefault="00BB0D96" w:rsidP="00406F5F">
      <w:pPr>
        <w:pStyle w:val="FootnoteText"/>
        <w:rPr>
          <w:sz w:val="18"/>
          <w:szCs w:val="18"/>
        </w:rPr>
      </w:pPr>
      <w:r w:rsidRPr="00417398">
        <w:rPr>
          <w:rStyle w:val="FootnoteReference"/>
          <w:sz w:val="18"/>
          <w:szCs w:val="18"/>
        </w:rPr>
        <w:footnoteRef/>
      </w:r>
      <w:r w:rsidRPr="00417398">
        <w:rPr>
          <w:sz w:val="18"/>
          <w:szCs w:val="18"/>
        </w:rPr>
        <w:t xml:space="preserve"> </w:t>
      </w:r>
      <w:r>
        <w:rPr>
          <w:sz w:val="18"/>
          <w:szCs w:val="18"/>
        </w:rPr>
        <w:t xml:space="preserve"> </w:t>
      </w:r>
      <w:r w:rsidRPr="00417398">
        <w:rPr>
          <w:sz w:val="18"/>
          <w:szCs w:val="18"/>
        </w:rPr>
        <w:t>The Arc is a national organization devoted to the needs of people with intellectual and/or developmental disabilities.</w:t>
      </w:r>
    </w:p>
  </w:footnote>
  <w:footnote w:id="49">
    <w:p w:rsidR="00BB0D96" w:rsidRPr="005E669F" w:rsidRDefault="00BB0D96" w:rsidP="00406F5F">
      <w:pPr>
        <w:spacing w:after="0"/>
        <w:ind w:left="180" w:hanging="180"/>
        <w:rPr>
          <w:sz w:val="18"/>
          <w:szCs w:val="18"/>
        </w:rPr>
      </w:pPr>
      <w:r w:rsidRPr="005E669F">
        <w:rPr>
          <w:rStyle w:val="FootnoteReference"/>
          <w:sz w:val="18"/>
          <w:szCs w:val="18"/>
        </w:rPr>
        <w:footnoteRef/>
      </w:r>
      <w:r w:rsidRPr="005E669F">
        <w:rPr>
          <w:sz w:val="18"/>
          <w:szCs w:val="18"/>
        </w:rPr>
        <w:t xml:space="preserve">  The Arc, Still in the Shadows with Their Future Uncertain, a Report on Family and Individual Needs for Disability Supports (FINDS, June 2011,  </w:t>
      </w:r>
      <w:hyperlink r:id="rId42" w:history="1">
        <w:r w:rsidRPr="005E669F">
          <w:rPr>
            <w:rStyle w:val="Hyperlink"/>
            <w:sz w:val="18"/>
            <w:szCs w:val="18"/>
          </w:rPr>
          <w:t>http://www.thearc.org/document.doc?id=3140</w:t>
        </w:r>
      </w:hyperlink>
    </w:p>
    <w:p w:rsidR="00BB0D96" w:rsidRPr="00637E4C" w:rsidRDefault="00BB0D96" w:rsidP="00406F5F">
      <w:pPr>
        <w:pStyle w:val="FootnoteText"/>
        <w:rPr>
          <w:sz w:val="2"/>
          <w:szCs w:val="2"/>
        </w:rPr>
      </w:pPr>
    </w:p>
  </w:footnote>
  <w:footnote w:id="50">
    <w:p w:rsidR="00BB0D96" w:rsidRDefault="00BB0D96" w:rsidP="00406F5F">
      <w:pPr>
        <w:pStyle w:val="FootnoteText"/>
      </w:pPr>
      <w:r>
        <w:rPr>
          <w:rStyle w:val="FootnoteReference"/>
        </w:rPr>
        <w:footnoteRef/>
      </w:r>
      <w:r>
        <w:t xml:space="preserve"> MMWR, Supplement/Vol.60, January 14, 2011, </w:t>
      </w:r>
      <w:hyperlink r:id="rId43" w:history="1">
        <w:r w:rsidRPr="00E17740">
          <w:rPr>
            <w:rStyle w:val="Hyperlink"/>
          </w:rPr>
          <w:t>http://www.cdc.gov/mmwr/pdf/other/su6001.pdf</w:t>
        </w:r>
      </w:hyperlink>
    </w:p>
  </w:footnote>
  <w:footnote w:id="51">
    <w:p w:rsidR="00BB0D96" w:rsidRPr="00417398" w:rsidRDefault="00BB0D96" w:rsidP="00406F5F">
      <w:pPr>
        <w:pStyle w:val="FootnoteText"/>
        <w:ind w:left="180" w:hanging="180"/>
        <w:rPr>
          <w:sz w:val="18"/>
          <w:szCs w:val="18"/>
        </w:rPr>
      </w:pPr>
      <w:r w:rsidRPr="00417398">
        <w:rPr>
          <w:rStyle w:val="FootnoteReference"/>
          <w:sz w:val="18"/>
          <w:szCs w:val="18"/>
        </w:rPr>
        <w:footnoteRef/>
      </w:r>
      <w:r w:rsidRPr="00417398">
        <w:rPr>
          <w:sz w:val="18"/>
          <w:szCs w:val="18"/>
        </w:rPr>
        <w:t xml:space="preserve"> </w:t>
      </w:r>
      <w:r>
        <w:rPr>
          <w:sz w:val="18"/>
          <w:szCs w:val="18"/>
        </w:rPr>
        <w:t xml:space="preserve"> </w:t>
      </w:r>
      <w:r w:rsidRPr="00417398">
        <w:rPr>
          <w:sz w:val="18"/>
          <w:szCs w:val="18"/>
        </w:rPr>
        <w:t xml:space="preserve">National Center on Birth Defects and Developmental Disabilities (NCBDDD) Strategic Plan, </w:t>
      </w:r>
      <w:hyperlink r:id="rId44" w:history="1">
        <w:r w:rsidRPr="00417398">
          <w:rPr>
            <w:rStyle w:val="Hyperlink"/>
            <w:sz w:val="18"/>
            <w:szCs w:val="18"/>
          </w:rPr>
          <w:t>http://www.cdc.gov/NCBDDD/AboutUs/birthdefects.html</w:t>
        </w:r>
      </w:hyperlink>
    </w:p>
  </w:footnote>
  <w:footnote w:id="52">
    <w:p w:rsidR="00BB0D96" w:rsidRPr="00417398" w:rsidRDefault="00BB0D96" w:rsidP="00406F5F">
      <w:pPr>
        <w:pStyle w:val="FootnoteText"/>
        <w:ind w:left="180" w:hanging="180"/>
        <w:rPr>
          <w:sz w:val="18"/>
          <w:szCs w:val="18"/>
        </w:rPr>
      </w:pPr>
      <w:r w:rsidRPr="00417398">
        <w:rPr>
          <w:rStyle w:val="FootnoteReference"/>
          <w:sz w:val="18"/>
          <w:szCs w:val="18"/>
        </w:rPr>
        <w:footnoteRef/>
      </w:r>
      <w:r w:rsidRPr="00417398">
        <w:rPr>
          <w:sz w:val="18"/>
          <w:szCs w:val="18"/>
        </w:rPr>
        <w:t xml:space="preserve"> </w:t>
      </w:r>
      <w:r>
        <w:rPr>
          <w:sz w:val="18"/>
          <w:szCs w:val="18"/>
        </w:rPr>
        <w:t xml:space="preserve"> </w:t>
      </w:r>
      <w:r w:rsidRPr="00417398">
        <w:rPr>
          <w:sz w:val="18"/>
          <w:szCs w:val="18"/>
        </w:rPr>
        <w:t xml:space="preserve">Bright Futures: Family Matters, Volume 12, Issue 2, Summer 2011 </w:t>
      </w:r>
      <w:hyperlink r:id="rId45" w:history="1">
        <w:r w:rsidRPr="006C75C1">
          <w:rPr>
            <w:rStyle w:val="Hyperlink"/>
            <w:sz w:val="18"/>
            <w:szCs w:val="18"/>
          </w:rPr>
          <w:t>http://www.brightfuturesforfamilies.org/pdf/BFFM-   NCBDDDSummer2011.pdf</w:t>
        </w:r>
      </w:hyperlink>
    </w:p>
  </w:footnote>
  <w:footnote w:id="53">
    <w:p w:rsidR="00BB0D96" w:rsidRPr="00892B42" w:rsidRDefault="00BB0D96" w:rsidP="00406F5F">
      <w:pPr>
        <w:pStyle w:val="FootnoteText"/>
        <w:rPr>
          <w:sz w:val="18"/>
          <w:szCs w:val="18"/>
        </w:rPr>
      </w:pPr>
      <w:r w:rsidRPr="00892B42">
        <w:rPr>
          <w:rStyle w:val="FootnoteReference"/>
          <w:sz w:val="18"/>
          <w:szCs w:val="18"/>
        </w:rPr>
        <w:footnoteRef/>
      </w:r>
      <w:r w:rsidRPr="00892B42">
        <w:rPr>
          <w:sz w:val="18"/>
          <w:szCs w:val="18"/>
        </w:rPr>
        <w:t xml:space="preserve">  HHS press release, June 29, 2011, </w:t>
      </w:r>
      <w:hyperlink r:id="rId46" w:history="1">
        <w:r w:rsidRPr="00892B42">
          <w:rPr>
            <w:rStyle w:val="Hyperlink"/>
            <w:sz w:val="18"/>
            <w:szCs w:val="18"/>
          </w:rPr>
          <w:t>http://www.hhs.gov/news/press/2011pres/06/20110629a.html</w:t>
        </w:r>
      </w:hyperlink>
    </w:p>
  </w:footnote>
  <w:footnote w:id="54">
    <w:p w:rsidR="00BB0D96" w:rsidRDefault="00BB0D96" w:rsidP="00406F5F">
      <w:pPr>
        <w:pStyle w:val="FootnoteText"/>
      </w:pPr>
      <w:r>
        <w:rPr>
          <w:rStyle w:val="FootnoteReference"/>
        </w:rPr>
        <w:footnoteRef/>
      </w:r>
      <w:r>
        <w:t xml:space="preserve"> </w:t>
      </w:r>
      <w:r w:rsidRPr="00524871">
        <w:rPr>
          <w:sz w:val="18"/>
          <w:szCs w:val="18"/>
        </w:rPr>
        <w:t xml:space="preserve">HHS Press Office, </w:t>
      </w:r>
      <w:hyperlink r:id="rId47" w:history="1">
        <w:r w:rsidRPr="00524871">
          <w:rPr>
            <w:rStyle w:val="Hyperlink"/>
            <w:sz w:val="18"/>
            <w:szCs w:val="18"/>
          </w:rPr>
          <w:t>http://www.hhs.gov/news/press/2011pres/09/20110908a.html</w:t>
        </w:r>
      </w:hyperlink>
    </w:p>
  </w:footnote>
  <w:footnote w:id="55">
    <w:p w:rsidR="00BB0D96" w:rsidRDefault="00BB0D96" w:rsidP="00406F5F">
      <w:pPr>
        <w:pStyle w:val="FootnoteText"/>
      </w:pPr>
      <w:r>
        <w:rPr>
          <w:rStyle w:val="FootnoteReference"/>
        </w:rPr>
        <w:footnoteRef/>
      </w:r>
      <w:r>
        <w:t xml:space="preserve"> To read the entire article, click on: </w:t>
      </w:r>
      <w:hyperlink r:id="rId48" w:history="1">
        <w:r w:rsidRPr="00DE3285">
          <w:rPr>
            <w:rStyle w:val="Hyperlink"/>
          </w:rPr>
          <w:t>http://www.kff.org/womenshealth/upload/7213-03.pdf</w:t>
        </w:r>
      </w:hyperlink>
    </w:p>
  </w:footnote>
  <w:footnote w:id="56">
    <w:p w:rsidR="00BB0D96" w:rsidRDefault="00BB0D96" w:rsidP="00406F5F">
      <w:pPr>
        <w:pStyle w:val="FootnoteText"/>
        <w:ind w:left="180" w:hanging="180"/>
      </w:pPr>
      <w:r>
        <w:rPr>
          <w:rStyle w:val="FootnoteReference"/>
        </w:rPr>
        <w:footnoteRef/>
      </w:r>
      <w:r>
        <w:t xml:space="preserve"> </w:t>
      </w:r>
      <w:hyperlink r:id="rId49" w:history="1">
        <w:r w:rsidRPr="002279AC">
          <w:rPr>
            <w:rStyle w:val="Hyperlink"/>
          </w:rPr>
          <w:t>http://akhealthpolicy.org/2012/02/08/new-study-finds-profound-income-divide-in-health-care-reform-law-will-help/</w:t>
        </w:r>
      </w:hyperlink>
    </w:p>
  </w:footnote>
  <w:footnote w:id="57">
    <w:p w:rsidR="00BB0D96" w:rsidRDefault="00BB0D96">
      <w:pPr>
        <w:pStyle w:val="FootnoteText"/>
      </w:pPr>
      <w:r>
        <w:rPr>
          <w:rStyle w:val="FootnoteReference"/>
        </w:rPr>
        <w:footnoteRef/>
      </w:r>
      <w:r>
        <w:t xml:space="preserve"> </w:t>
      </w:r>
      <w:hyperlink r:id="rId50" w:history="1">
        <w:r w:rsidRPr="0012175C">
          <w:rPr>
            <w:rStyle w:val="Hyperlink"/>
          </w:rPr>
          <w:t>http://www.aapd.com/resources/press-room/aapd-releases-the-2013.html</w:t>
        </w:r>
      </w:hyperlink>
    </w:p>
  </w:footnote>
  <w:footnote w:id="58">
    <w:p w:rsidR="00BB0D96" w:rsidRPr="004D441E" w:rsidRDefault="00BB0D96">
      <w:pPr>
        <w:pStyle w:val="FootnoteText"/>
        <w:rPr>
          <w:rFonts w:cs="Arial"/>
          <w:sz w:val="18"/>
          <w:szCs w:val="18"/>
        </w:rPr>
      </w:pPr>
      <w:r>
        <w:rPr>
          <w:rStyle w:val="FootnoteReference"/>
        </w:rPr>
        <w:footnoteRef/>
      </w:r>
      <w:r>
        <w:t xml:space="preserve"> </w:t>
      </w:r>
      <w:hyperlink r:id="rId51" w:history="1">
        <w:r w:rsidRPr="004D441E">
          <w:rPr>
            <w:rStyle w:val="Hyperlink"/>
            <w:rFonts w:cs="Arial"/>
            <w:sz w:val="18"/>
            <w:szCs w:val="18"/>
          </w:rPr>
          <w:t>http://www.aapd.com/resources/press-room/press-releases/disability-equality-index-1.html</w:t>
        </w:r>
      </w:hyperlink>
    </w:p>
  </w:footnote>
  <w:footnote w:id="59">
    <w:p w:rsidR="00BB0D96" w:rsidRPr="004D441E" w:rsidRDefault="00BB0D96">
      <w:pPr>
        <w:pStyle w:val="FootnoteText"/>
        <w:rPr>
          <w:rFonts w:cs="Arial"/>
          <w:sz w:val="4"/>
          <w:szCs w:val="4"/>
        </w:rPr>
      </w:pPr>
    </w:p>
  </w:footnote>
  <w:footnote w:id="60">
    <w:p w:rsidR="00BB0D96" w:rsidRPr="004D441E" w:rsidRDefault="00BB0D96">
      <w:pPr>
        <w:pStyle w:val="FootnoteText"/>
        <w:rPr>
          <w:szCs w:val="18"/>
        </w:rPr>
      </w:pPr>
      <w:r>
        <w:rPr>
          <w:rStyle w:val="FootnoteReference"/>
        </w:rPr>
        <w:footnoteRef/>
      </w:r>
      <w:r>
        <w:t xml:space="preserve"> </w:t>
      </w:r>
      <w:hyperlink r:id="rId52" w:history="1">
        <w:r w:rsidRPr="00A60D1F">
          <w:rPr>
            <w:rStyle w:val="Hyperlink"/>
            <w:rFonts w:cs="Arial"/>
            <w:bCs/>
            <w:szCs w:val="18"/>
          </w:rPr>
          <w:t>disability.gov@service.govdelivery.com</w:t>
        </w:r>
      </w:hyperlink>
    </w:p>
  </w:footnote>
  <w:footnote w:id="61">
    <w:p w:rsidR="00BB0D96" w:rsidRPr="00002962" w:rsidRDefault="00BB0D96" w:rsidP="000F5C61">
      <w:pPr>
        <w:pStyle w:val="NormalWeb"/>
        <w:ind w:left="180" w:hanging="180"/>
        <w:rPr>
          <w:rFonts w:asciiTheme="minorHAnsi" w:hAnsiTheme="minorHAnsi" w:cstheme="minorHAnsi"/>
          <w:sz w:val="18"/>
          <w:szCs w:val="18"/>
        </w:rPr>
      </w:pPr>
      <w:r w:rsidRPr="00002962">
        <w:rPr>
          <w:rStyle w:val="FootnoteReference"/>
          <w:rFonts w:asciiTheme="minorHAnsi" w:hAnsiTheme="minorHAnsi" w:cstheme="minorHAnsi"/>
          <w:sz w:val="18"/>
          <w:szCs w:val="18"/>
        </w:rPr>
        <w:footnoteRef/>
      </w:r>
      <w:r w:rsidRPr="00002962">
        <w:rPr>
          <w:rFonts w:asciiTheme="minorHAnsi" w:hAnsiTheme="minorHAnsi" w:cstheme="minorHAnsi"/>
          <w:sz w:val="18"/>
          <w:szCs w:val="18"/>
        </w:rPr>
        <w:t xml:space="preserve"> </w:t>
      </w:r>
      <w:r>
        <w:rPr>
          <w:rFonts w:asciiTheme="minorHAnsi" w:hAnsiTheme="minorHAnsi" w:cstheme="minorHAnsi"/>
          <w:sz w:val="18"/>
          <w:szCs w:val="18"/>
        </w:rPr>
        <w:t xml:space="preserve"> </w:t>
      </w:r>
      <w:r w:rsidRPr="00002962">
        <w:rPr>
          <w:rFonts w:asciiTheme="minorHAnsi" w:hAnsiTheme="minorHAnsi" w:cstheme="minorHAnsi"/>
          <w:sz w:val="18"/>
          <w:szCs w:val="18"/>
        </w:rPr>
        <w:t xml:space="preserve">Rule 5 of the Standard Rules on the Equalization of Opportunities for Persons with Disabilities (General Assembly resolution 48/96 of 20 December 1993 annex) considers “accessibility” with reference both to the physical environment and to information and communications services. </w:t>
      </w:r>
      <w:hyperlink r:id="rId53" w:history="1">
        <w:r w:rsidRPr="00002962">
          <w:rPr>
            <w:rStyle w:val="Hyperlink"/>
            <w:rFonts w:asciiTheme="minorHAnsi" w:hAnsiTheme="minorHAnsi" w:cstheme="minorHAnsi"/>
            <w:sz w:val="18"/>
            <w:szCs w:val="18"/>
          </w:rPr>
          <w:t>http://www.un.org/esa/socdev/enable/disacc.htm</w:t>
        </w:r>
      </w:hyperlink>
      <w:r w:rsidRPr="00002962">
        <w:rPr>
          <w:rFonts w:asciiTheme="minorHAnsi" w:hAnsiTheme="minorHAnsi" w:cstheme="minorHAnsi"/>
          <w:sz w:val="18"/>
          <w:szCs w:val="18"/>
        </w:rPr>
        <w:t xml:space="preserve"> </w:t>
      </w:r>
    </w:p>
    <w:p w:rsidR="00BB0D96" w:rsidRDefault="00BB0D96" w:rsidP="000F5C61">
      <w:pPr>
        <w:pStyle w:val="FootnoteText"/>
      </w:pPr>
    </w:p>
  </w:footnote>
  <w:footnote w:id="62">
    <w:p w:rsidR="00BB0D96" w:rsidRPr="000365E8" w:rsidRDefault="00BB0D96" w:rsidP="009C7774">
      <w:pPr>
        <w:spacing w:after="0" w:line="240" w:lineRule="auto"/>
        <w:ind w:left="180" w:hanging="180"/>
        <w:rPr>
          <w:rFonts w:cstheme="minorHAnsi"/>
          <w:sz w:val="18"/>
          <w:szCs w:val="18"/>
        </w:rPr>
      </w:pPr>
      <w:r>
        <w:rPr>
          <w:rStyle w:val="FootnoteReference"/>
        </w:rPr>
        <w:footnoteRef/>
      </w:r>
      <w:r>
        <w:t xml:space="preserve"> </w:t>
      </w:r>
      <w:r w:rsidRPr="000365E8">
        <w:rPr>
          <w:sz w:val="18"/>
          <w:szCs w:val="18"/>
        </w:rPr>
        <w:t xml:space="preserve">United Nations Environment Programme (UNEP), Discussion Paper presented at the 2006 IAIA Annual Conference, Stavanger, Norway,  </w:t>
      </w:r>
      <w:hyperlink r:id="rId54" w:history="1">
        <w:r w:rsidRPr="000365E8">
          <w:rPr>
            <w:rStyle w:val="Hyperlink"/>
            <w:rFonts w:cstheme="minorHAnsi"/>
            <w:sz w:val="18"/>
            <w:szCs w:val="18"/>
          </w:rPr>
          <w:t>Ways to Increase the Effectiveness of Capacity Building for Sustainable Development</w:t>
        </w:r>
      </w:hyperlink>
    </w:p>
    <w:p w:rsidR="00BB0D96" w:rsidRPr="000365E8" w:rsidRDefault="00BB0D96" w:rsidP="009C7774">
      <w:pPr>
        <w:pStyle w:val="FootnoteText"/>
        <w:rPr>
          <w:sz w:val="2"/>
          <w:szCs w:val="2"/>
        </w:rPr>
      </w:pPr>
    </w:p>
  </w:footnote>
  <w:footnote w:id="63">
    <w:p w:rsidR="00BB0D96" w:rsidRPr="000365E8" w:rsidRDefault="00BB0D96" w:rsidP="00524FC9">
      <w:pPr>
        <w:pStyle w:val="FootnoteText"/>
        <w:rPr>
          <w:sz w:val="18"/>
          <w:szCs w:val="18"/>
        </w:rPr>
      </w:pPr>
      <w:r w:rsidRPr="000365E8">
        <w:rPr>
          <w:rStyle w:val="FootnoteReference"/>
          <w:sz w:val="18"/>
          <w:szCs w:val="18"/>
        </w:rPr>
        <w:footnoteRef/>
      </w:r>
      <w:r w:rsidRPr="000365E8">
        <w:rPr>
          <w:sz w:val="18"/>
          <w:szCs w:val="18"/>
        </w:rPr>
        <w:t xml:space="preserve"> See Appendix A, page 64</w:t>
      </w:r>
    </w:p>
  </w:footnote>
  <w:footnote w:id="64">
    <w:p w:rsidR="00BB0D96" w:rsidRPr="00D81487" w:rsidRDefault="00BB0D96" w:rsidP="00C7152A">
      <w:pPr>
        <w:pStyle w:val="FootnoteText"/>
        <w:rPr>
          <w:sz w:val="18"/>
          <w:szCs w:val="18"/>
        </w:rPr>
      </w:pPr>
      <w:r>
        <w:rPr>
          <w:rStyle w:val="FootnoteReference"/>
        </w:rPr>
        <w:footnoteRef/>
      </w:r>
      <w:r>
        <w:t xml:space="preserve"> </w:t>
      </w:r>
      <w:hyperlink r:id="rId55" w:history="1">
        <w:r w:rsidRPr="00D81487">
          <w:rPr>
            <w:rStyle w:val="Hyperlink"/>
            <w:sz w:val="18"/>
            <w:szCs w:val="18"/>
          </w:rPr>
          <w:t>U.S. Department of Health and Human Services, National Institutes of Health, Modification 1</w:t>
        </w:r>
      </w:hyperlink>
    </w:p>
    <w:p w:rsidR="00BB0D96" w:rsidRPr="00D81487" w:rsidRDefault="00BB0D96" w:rsidP="00C7152A">
      <w:pPr>
        <w:pStyle w:val="FootnoteText"/>
        <w:rPr>
          <w:sz w:val="2"/>
          <w:szCs w:val="2"/>
        </w:rPr>
      </w:pPr>
    </w:p>
  </w:footnote>
  <w:footnote w:id="65">
    <w:p w:rsidR="00BB0D96" w:rsidRDefault="00BB0D96" w:rsidP="00C7152A">
      <w:pPr>
        <w:pStyle w:val="FootnoteText"/>
      </w:pPr>
      <w:r w:rsidRPr="00D81487">
        <w:rPr>
          <w:rStyle w:val="FootnoteReference"/>
          <w:sz w:val="18"/>
          <w:szCs w:val="18"/>
        </w:rPr>
        <w:footnoteRef/>
      </w:r>
      <w:r w:rsidRPr="00D81487">
        <w:rPr>
          <w:sz w:val="18"/>
          <w:szCs w:val="18"/>
        </w:rPr>
        <w:t xml:space="preserve"> Ibid., </w:t>
      </w:r>
      <w:hyperlink r:id="rId56" w:history="1">
        <w:r w:rsidRPr="00D81487">
          <w:rPr>
            <w:rStyle w:val="Hyperlink"/>
            <w:sz w:val="18"/>
            <w:szCs w:val="18"/>
          </w:rPr>
          <w:t>U.S. DPHHS, National Institutes of Health, Modification 2</w:t>
        </w:r>
      </w:hyperlink>
      <w:r>
        <w:br/>
      </w:r>
    </w:p>
  </w:footnote>
  <w:footnote w:id="66">
    <w:p w:rsidR="00BB0D96" w:rsidRDefault="00BB0D96" w:rsidP="00067FEC">
      <w:pPr>
        <w:pStyle w:val="FootnoteText"/>
      </w:pPr>
      <w:r>
        <w:rPr>
          <w:rStyle w:val="FootnoteReference"/>
        </w:rPr>
        <w:footnoteRef/>
      </w:r>
      <w:r>
        <w:t xml:space="preserve"> </w:t>
      </w:r>
      <w:hyperlink r:id="rId57" w:history="1">
        <w:r w:rsidRPr="00A86527">
          <w:rPr>
            <w:rStyle w:val="Hyperlink"/>
          </w:rPr>
          <w:t>http://www.dphhs.mt.gov/publichealth/accreditation/hb173pilot.shtml</w:t>
        </w:r>
      </w:hyperlink>
    </w:p>
  </w:footnote>
  <w:footnote w:id="67">
    <w:p w:rsidR="00BB0D96" w:rsidRPr="003409B8" w:rsidRDefault="00BB0D96" w:rsidP="00067FEC">
      <w:pPr>
        <w:pStyle w:val="FootnoteText"/>
        <w:rPr>
          <w:color w:val="1F497D" w:themeColor="text2"/>
        </w:rPr>
      </w:pPr>
      <w:r>
        <w:rPr>
          <w:rStyle w:val="FootnoteReference"/>
        </w:rPr>
        <w:footnoteRef/>
      </w:r>
      <w:r>
        <w:t xml:space="preserve"> Public Health Accreditation Board (PHAB) </w:t>
      </w:r>
      <w:hyperlink r:id="rId58" w:history="1">
        <w:r w:rsidRPr="003409B8">
          <w:rPr>
            <w:rStyle w:val="Hyperlink"/>
          </w:rPr>
          <w:t>www.phaboard.org</w:t>
        </w:r>
      </w:hyperlink>
    </w:p>
  </w:footnote>
  <w:footnote w:id="68">
    <w:p w:rsidR="00BB0D96" w:rsidRDefault="00BB0D96" w:rsidP="00067FEC">
      <w:pPr>
        <w:pStyle w:val="FootnoteText"/>
      </w:pPr>
      <w:r>
        <w:rPr>
          <w:rStyle w:val="FootnoteReference"/>
        </w:rPr>
        <w:footnoteRef/>
      </w:r>
      <w:r>
        <w:t xml:space="preserve"> </w:t>
      </w:r>
      <w:hyperlink r:id="rId59" w:history="1">
        <w:r w:rsidRPr="00CA28FA">
          <w:rPr>
            <w:rStyle w:val="Hyperlink"/>
          </w:rPr>
          <w:t>http://www.dphhs.mt.gov/biennialreports/PHSDPresentation2013.pdf</w:t>
        </w:r>
      </w:hyperlink>
    </w:p>
  </w:footnote>
  <w:footnote w:id="69">
    <w:p w:rsidR="00BB0D96" w:rsidRDefault="00BB0D96" w:rsidP="00067FEC">
      <w:pPr>
        <w:pStyle w:val="FootnoteText"/>
      </w:pPr>
      <w:r>
        <w:rPr>
          <w:rStyle w:val="FootnoteReference"/>
        </w:rPr>
        <w:footnoteRef/>
      </w:r>
      <w:r>
        <w:t xml:space="preserve"> </w:t>
      </w:r>
      <w:hyperlink r:id="rId60" w:history="1">
        <w:r w:rsidRPr="001F3108">
          <w:rPr>
            <w:rStyle w:val="Hyperlink"/>
          </w:rPr>
          <w:t>http://healthyamericans.org/health-issues/wp-content/uploads/2013/04/MT-Fund-at-Work.pdf</w:t>
        </w:r>
      </w:hyperlink>
    </w:p>
  </w:footnote>
  <w:footnote w:id="70">
    <w:p w:rsidR="00BB0D96" w:rsidRDefault="00BB0D96" w:rsidP="00067FEC">
      <w:pPr>
        <w:pStyle w:val="FootnoteText"/>
        <w:ind w:left="90" w:hanging="90"/>
      </w:pPr>
      <w:r>
        <w:rPr>
          <w:rStyle w:val="FootnoteReference"/>
        </w:rPr>
        <w:footnoteRef/>
      </w:r>
      <w:r>
        <w:t xml:space="preserve"> </w:t>
      </w:r>
      <w:hyperlink r:id="rId61" w:history="1">
        <w:r w:rsidRPr="008272AF">
          <w:rPr>
            <w:rStyle w:val="Hyperlink"/>
          </w:rPr>
          <w:t>http://www.dphhs.mt.gov/ship/documents/StateHealthImprovementPlan.pdf</w:t>
        </w:r>
      </w:hyperlink>
      <w:r>
        <w:t xml:space="preserve"> </w:t>
      </w:r>
      <w:r w:rsidRPr="000F71B8">
        <w:rPr>
          <w:sz w:val="18"/>
          <w:szCs w:val="18"/>
        </w:rPr>
        <w:t>Big Sky. New Horizons. A Healthier</w:t>
      </w:r>
      <w:r>
        <w:rPr>
          <w:sz w:val="18"/>
          <w:szCs w:val="18"/>
        </w:rPr>
        <w:t xml:space="preserve"> </w:t>
      </w:r>
      <w:r w:rsidRPr="000F71B8">
        <w:rPr>
          <w:sz w:val="18"/>
          <w:szCs w:val="18"/>
        </w:rPr>
        <w:t>Montana: A Plan to Improve the Health of Montanans</w:t>
      </w:r>
      <w:r>
        <w:rPr>
          <w:sz w:val="23"/>
          <w:szCs w:val="23"/>
        </w:rPr>
        <w:t xml:space="preserve">. </w:t>
      </w:r>
      <w:r w:rsidRPr="00A7339D">
        <w:rPr>
          <w:sz w:val="18"/>
          <w:szCs w:val="18"/>
        </w:rPr>
        <w:t>Page 4</w:t>
      </w:r>
      <w:r>
        <w:rPr>
          <w:sz w:val="23"/>
          <w:szCs w:val="23"/>
        </w:rPr>
        <w:t xml:space="preserve"> </w:t>
      </w:r>
    </w:p>
  </w:footnote>
  <w:footnote w:id="71">
    <w:p w:rsidR="00BB0D96" w:rsidRDefault="00BB0D96" w:rsidP="00067FEC">
      <w:pPr>
        <w:pStyle w:val="FootnoteText"/>
      </w:pPr>
      <w:r>
        <w:rPr>
          <w:rStyle w:val="FootnoteReference"/>
        </w:rPr>
        <w:footnoteRef/>
      </w:r>
      <w:r>
        <w:t xml:space="preserve"> Ibid</w:t>
      </w:r>
    </w:p>
  </w:footnote>
  <w:footnote w:id="72">
    <w:p w:rsidR="00BB0D96" w:rsidRDefault="00BB0D96" w:rsidP="00067FEC">
      <w:pPr>
        <w:pStyle w:val="FootnoteText"/>
      </w:pPr>
      <w:r>
        <w:rPr>
          <w:rStyle w:val="FootnoteReference"/>
        </w:rPr>
        <w:footnoteRef/>
      </w:r>
      <w:r>
        <w:t xml:space="preserve"> Ibid</w:t>
      </w:r>
    </w:p>
  </w:footnote>
  <w:footnote w:id="73">
    <w:p w:rsidR="00BB0D96" w:rsidRDefault="00BB0D96" w:rsidP="00067FEC">
      <w:pPr>
        <w:pStyle w:val="FootnoteText"/>
      </w:pPr>
      <w:r>
        <w:rPr>
          <w:rStyle w:val="FootnoteReference"/>
        </w:rPr>
        <w:footnoteRef/>
      </w:r>
      <w:r>
        <w:t xml:space="preserve"> Ibid, page 20</w:t>
      </w:r>
    </w:p>
  </w:footnote>
  <w:footnote w:id="74">
    <w:p w:rsidR="00BB0D96" w:rsidRPr="009B06F6" w:rsidRDefault="00BB0D96" w:rsidP="009367EB">
      <w:pPr>
        <w:pStyle w:val="FootnoteText"/>
        <w:rPr>
          <w:sz w:val="18"/>
          <w:szCs w:val="18"/>
        </w:rPr>
      </w:pPr>
      <w:r w:rsidRPr="009B06F6">
        <w:rPr>
          <w:rStyle w:val="FootnoteReference"/>
          <w:sz w:val="18"/>
          <w:szCs w:val="18"/>
        </w:rPr>
        <w:footnoteRef/>
      </w:r>
      <w:r w:rsidRPr="009B06F6">
        <w:rPr>
          <w:sz w:val="18"/>
          <w:szCs w:val="18"/>
        </w:rPr>
        <w:t xml:space="preserve"> </w:t>
      </w:r>
      <w:r w:rsidRPr="009B06F6">
        <w:rPr>
          <w:rFonts w:cstheme="minorHAnsi"/>
          <w:b/>
          <w:bCs/>
          <w:sz w:val="18"/>
          <w:szCs w:val="18"/>
          <w:u w:val="single"/>
        </w:rPr>
        <w:t>M</w:t>
      </w:r>
      <w:r w:rsidRPr="009B06F6">
        <w:rPr>
          <w:rFonts w:cstheme="minorHAnsi"/>
          <w:bCs/>
          <w:sz w:val="18"/>
          <w:szCs w:val="18"/>
        </w:rPr>
        <w:t xml:space="preserve">aterials Supporting </w:t>
      </w:r>
      <w:r w:rsidRPr="009B06F6">
        <w:rPr>
          <w:rFonts w:cstheme="minorHAnsi"/>
          <w:b/>
          <w:bCs/>
          <w:sz w:val="18"/>
          <w:szCs w:val="18"/>
          <w:u w:val="single"/>
        </w:rPr>
        <w:t>E</w:t>
      </w:r>
      <w:r w:rsidRPr="009B06F6">
        <w:rPr>
          <w:rFonts w:cstheme="minorHAnsi"/>
          <w:bCs/>
          <w:sz w:val="18"/>
          <w:szCs w:val="18"/>
        </w:rPr>
        <w:t xml:space="preserve">ducation and </w:t>
      </w:r>
      <w:r w:rsidRPr="009B06F6">
        <w:rPr>
          <w:rFonts w:cstheme="minorHAnsi"/>
          <w:b/>
          <w:bCs/>
          <w:sz w:val="18"/>
          <w:szCs w:val="18"/>
          <w:u w:val="single"/>
        </w:rPr>
        <w:t>NU</w:t>
      </w:r>
      <w:r w:rsidRPr="009B06F6">
        <w:rPr>
          <w:rFonts w:cstheme="minorHAnsi"/>
          <w:bCs/>
          <w:sz w:val="18"/>
          <w:szCs w:val="18"/>
        </w:rPr>
        <w:t xml:space="preserve">trition for  </w:t>
      </w:r>
      <w:r w:rsidRPr="009B06F6">
        <w:rPr>
          <w:rFonts w:cstheme="minorHAnsi"/>
          <w:b/>
          <w:bCs/>
          <w:sz w:val="18"/>
          <w:szCs w:val="18"/>
          <w:u w:val="single"/>
        </w:rPr>
        <w:t>A</w:t>
      </w:r>
      <w:r w:rsidRPr="009B06F6">
        <w:rPr>
          <w:rFonts w:cstheme="minorHAnsi"/>
          <w:bCs/>
          <w:sz w:val="18"/>
          <w:szCs w:val="18"/>
        </w:rPr>
        <w:t xml:space="preserve">dults with </w:t>
      </w:r>
      <w:r w:rsidRPr="009B06F6">
        <w:rPr>
          <w:rFonts w:cstheme="minorHAnsi"/>
          <w:b/>
          <w:bCs/>
          <w:sz w:val="18"/>
          <w:szCs w:val="18"/>
          <w:u w:val="single"/>
        </w:rPr>
        <w:t>I</w:t>
      </w:r>
      <w:r w:rsidRPr="009B06F6">
        <w:rPr>
          <w:rFonts w:cstheme="minorHAnsi"/>
          <w:bCs/>
          <w:sz w:val="18"/>
          <w:szCs w:val="18"/>
        </w:rPr>
        <w:t xml:space="preserve">ntellectual and </w:t>
      </w:r>
      <w:r w:rsidRPr="009B06F6">
        <w:rPr>
          <w:rFonts w:cstheme="minorHAnsi"/>
          <w:b/>
          <w:bCs/>
          <w:sz w:val="18"/>
          <w:szCs w:val="18"/>
          <w:u w:val="single"/>
        </w:rPr>
        <w:t>D</w:t>
      </w:r>
      <w:r w:rsidRPr="009B06F6">
        <w:rPr>
          <w:rFonts w:cstheme="minorHAnsi"/>
          <w:bCs/>
          <w:sz w:val="18"/>
          <w:szCs w:val="18"/>
        </w:rPr>
        <w:t xml:space="preserve">evelopmental </w:t>
      </w:r>
      <w:r w:rsidRPr="009B06F6">
        <w:rPr>
          <w:rFonts w:cstheme="minorHAnsi"/>
          <w:b/>
          <w:bCs/>
          <w:sz w:val="18"/>
          <w:szCs w:val="18"/>
          <w:u w:val="single"/>
        </w:rPr>
        <w:t>D</w:t>
      </w:r>
      <w:r w:rsidRPr="009B06F6">
        <w:rPr>
          <w:rFonts w:cstheme="minorHAnsi"/>
          <w:bCs/>
          <w:sz w:val="18"/>
          <w:szCs w:val="18"/>
        </w:rPr>
        <w:t>isabilities</w:t>
      </w:r>
    </w:p>
  </w:footnote>
  <w:footnote w:id="75">
    <w:p w:rsidR="00BB0D96" w:rsidRPr="00C53920" w:rsidRDefault="00BB0D96" w:rsidP="009028B5">
      <w:pPr>
        <w:pStyle w:val="FootnoteText"/>
        <w:ind w:left="180" w:hanging="180"/>
        <w:rPr>
          <w:sz w:val="18"/>
          <w:szCs w:val="18"/>
        </w:rPr>
      </w:pPr>
      <w:r>
        <w:rPr>
          <w:rStyle w:val="FootnoteReference"/>
        </w:rPr>
        <w:footnoteRef/>
      </w:r>
      <w:r>
        <w:t xml:space="preserve">  </w:t>
      </w:r>
      <w:hyperlink r:id="rId62" w:history="1">
        <w:r w:rsidRPr="00263200">
          <w:rPr>
            <w:rStyle w:val="Hyperlink"/>
            <w:sz w:val="18"/>
            <w:szCs w:val="18"/>
          </w:rPr>
          <w:t>Living Well with a Disability</w:t>
        </w:r>
      </w:hyperlink>
    </w:p>
  </w:footnote>
  <w:footnote w:id="76">
    <w:p w:rsidR="00BB0D96" w:rsidRPr="00257ABD" w:rsidRDefault="00BB0D96" w:rsidP="009028B5">
      <w:pPr>
        <w:pStyle w:val="FootnoteText"/>
        <w:ind w:left="180" w:hanging="180"/>
        <w:rPr>
          <w:sz w:val="18"/>
          <w:szCs w:val="18"/>
        </w:rPr>
      </w:pPr>
      <w:r w:rsidRPr="00C53920">
        <w:rPr>
          <w:rStyle w:val="FootnoteReference"/>
          <w:sz w:val="18"/>
          <w:szCs w:val="18"/>
        </w:rPr>
        <w:footnoteRef/>
      </w:r>
      <w:r w:rsidRPr="00C53920">
        <w:rPr>
          <w:sz w:val="18"/>
          <w:szCs w:val="18"/>
        </w:rPr>
        <w:t xml:space="preserve"> </w:t>
      </w:r>
      <w:r>
        <w:rPr>
          <w:sz w:val="18"/>
          <w:szCs w:val="18"/>
        </w:rPr>
        <w:t xml:space="preserve"> </w:t>
      </w:r>
      <w:hyperlink r:id="rId63" w:history="1">
        <w:r w:rsidRPr="00263200">
          <w:rPr>
            <w:rStyle w:val="Hyperlink"/>
            <w:sz w:val="18"/>
            <w:szCs w:val="18"/>
          </w:rPr>
          <w:t xml:space="preserve">Findings from a Study of the Working Well with a Disability Program, Research Report 2010 </w:t>
        </w:r>
      </w:hyperlink>
    </w:p>
  </w:footnote>
  <w:footnote w:id="77">
    <w:p w:rsidR="00BB0D96" w:rsidRPr="008876BB" w:rsidRDefault="00BB0D96" w:rsidP="003538B7">
      <w:pPr>
        <w:pStyle w:val="FootnoteText"/>
        <w:rPr>
          <w:sz w:val="18"/>
          <w:szCs w:val="18"/>
        </w:rPr>
      </w:pPr>
      <w:r w:rsidRPr="008876BB">
        <w:rPr>
          <w:rStyle w:val="FootnoteReference"/>
          <w:sz w:val="18"/>
          <w:szCs w:val="18"/>
        </w:rPr>
        <w:footnoteRef/>
      </w:r>
      <w:r w:rsidRPr="008876BB">
        <w:rPr>
          <w:sz w:val="18"/>
          <w:szCs w:val="18"/>
        </w:rPr>
        <w:t xml:space="preserve"> </w:t>
      </w:r>
      <w:hyperlink r:id="rId64" w:history="1">
        <w:r w:rsidRPr="008876BB">
          <w:rPr>
            <w:rStyle w:val="Hyperlink"/>
            <w:sz w:val="18"/>
            <w:szCs w:val="18"/>
          </w:rPr>
          <w:t xml:space="preserve">People with Disabilities: Living Healthy </w:t>
        </w:r>
      </w:hyperlink>
    </w:p>
  </w:footnote>
  <w:footnote w:id="78">
    <w:p w:rsidR="00BB0D96" w:rsidRPr="008876BB" w:rsidRDefault="00BB0D96" w:rsidP="003538B7">
      <w:pPr>
        <w:pStyle w:val="FootnoteText"/>
        <w:rPr>
          <w:sz w:val="18"/>
          <w:szCs w:val="18"/>
        </w:rPr>
      </w:pPr>
      <w:r w:rsidRPr="008876BB">
        <w:rPr>
          <w:rStyle w:val="FootnoteReference"/>
          <w:sz w:val="18"/>
          <w:szCs w:val="18"/>
        </w:rPr>
        <w:footnoteRef/>
      </w:r>
      <w:r w:rsidRPr="008876BB">
        <w:rPr>
          <w:sz w:val="18"/>
          <w:szCs w:val="18"/>
        </w:rPr>
        <w:t xml:space="preserve"> Ibid.</w:t>
      </w:r>
    </w:p>
  </w:footnote>
  <w:footnote w:id="79">
    <w:p w:rsidR="00BB0D96" w:rsidRPr="00D6256D" w:rsidRDefault="00BB0D96" w:rsidP="00582039">
      <w:pPr>
        <w:pStyle w:val="FootnoteText"/>
        <w:rPr>
          <w:sz w:val="18"/>
          <w:szCs w:val="18"/>
        </w:rPr>
      </w:pPr>
      <w:r>
        <w:rPr>
          <w:rStyle w:val="FootnoteReference"/>
        </w:rPr>
        <w:footnoteRef/>
      </w:r>
      <w:r>
        <w:t xml:space="preserve"> </w:t>
      </w:r>
      <w:hyperlink r:id="rId65" w:history="1">
        <w:r w:rsidRPr="00D6256D">
          <w:rPr>
            <w:rStyle w:val="Hyperlink"/>
            <w:rFonts w:cstheme="minorHAnsi"/>
            <w:sz w:val="18"/>
            <w:szCs w:val="18"/>
          </w:rPr>
          <w:t>Revised ADA Regulations Implementing Title II and Title III</w:t>
        </w:r>
      </w:hyperlink>
    </w:p>
  </w:footnote>
  <w:footnote w:id="80">
    <w:p w:rsidR="00BB0D96" w:rsidRPr="00D6256D" w:rsidRDefault="00BB0D96" w:rsidP="00582039">
      <w:pPr>
        <w:pStyle w:val="FootnoteText"/>
        <w:ind w:left="270" w:hanging="270"/>
        <w:rPr>
          <w:rFonts w:cstheme="minorHAnsi"/>
          <w:b/>
          <w:sz w:val="18"/>
          <w:szCs w:val="18"/>
        </w:rPr>
      </w:pPr>
      <w:r w:rsidRPr="00D6256D">
        <w:rPr>
          <w:rStyle w:val="FootnoteReference"/>
          <w:sz w:val="18"/>
          <w:szCs w:val="18"/>
        </w:rPr>
        <w:footnoteRef/>
      </w:r>
      <w:r w:rsidRPr="00D6256D">
        <w:rPr>
          <w:sz w:val="18"/>
          <w:szCs w:val="18"/>
        </w:rPr>
        <w:t xml:space="preserve">  </w:t>
      </w:r>
      <w:hyperlink r:id="rId66" w:history="1">
        <w:r w:rsidRPr="00D6256D">
          <w:rPr>
            <w:rStyle w:val="Hyperlink"/>
            <w:rFonts w:cstheme="minorHAnsi"/>
            <w:sz w:val="18"/>
            <w:szCs w:val="18"/>
          </w:rPr>
          <w:t>Center for Universal Design,</w:t>
        </w:r>
        <w:r w:rsidRPr="00D6256D">
          <w:rPr>
            <w:rStyle w:val="Hyperlink"/>
            <w:rFonts w:cstheme="minorHAnsi"/>
            <w:b/>
            <w:sz w:val="18"/>
            <w:szCs w:val="18"/>
          </w:rPr>
          <w:t xml:space="preserve"> </w:t>
        </w:r>
        <w:r w:rsidRPr="00D6256D">
          <w:rPr>
            <w:rStyle w:val="Hyperlink"/>
            <w:rFonts w:cstheme="minorHAnsi"/>
            <w:sz w:val="18"/>
            <w:szCs w:val="18"/>
          </w:rPr>
          <w:t>an initiative of the College of Design</w:t>
        </w:r>
      </w:hyperlink>
      <w:r w:rsidRPr="00D6256D">
        <w:rPr>
          <w:rStyle w:val="Strong"/>
          <w:rFonts w:cstheme="minorHAnsi"/>
          <w:sz w:val="18"/>
          <w:szCs w:val="18"/>
        </w:rPr>
        <w:t xml:space="preserve"> at North Carolina State University (NCSU), </w:t>
      </w:r>
    </w:p>
  </w:footnote>
  <w:footnote w:id="81">
    <w:p w:rsidR="00BB0D96" w:rsidRPr="00252B2D" w:rsidRDefault="00BB0D96" w:rsidP="00A57C41">
      <w:pPr>
        <w:pStyle w:val="FootnoteText"/>
        <w:tabs>
          <w:tab w:val="left" w:pos="6660"/>
        </w:tabs>
        <w:ind w:left="270" w:hanging="270"/>
        <w:rPr>
          <w:sz w:val="18"/>
          <w:szCs w:val="18"/>
        </w:rPr>
      </w:pPr>
      <w:r>
        <w:rPr>
          <w:rStyle w:val="FootnoteReference"/>
        </w:rPr>
        <w:footnoteRef/>
      </w:r>
      <w:r>
        <w:t xml:space="preserve">   </w:t>
      </w:r>
      <w:r w:rsidRPr="00252B2D">
        <w:rPr>
          <w:sz w:val="18"/>
          <w:szCs w:val="18"/>
        </w:rPr>
        <w:t xml:space="preserve">Montana Emergency Response Framework (MERF), 2012;  </w:t>
      </w:r>
      <w:hyperlink r:id="rId67" w:history="1">
        <w:r w:rsidRPr="00BE523F">
          <w:rPr>
            <w:rStyle w:val="Hyperlink"/>
            <w:sz w:val="18"/>
            <w:szCs w:val="18"/>
          </w:rPr>
          <w:t>http://montanadma.org/sites/default/files/MERF_2012_v1.2_0.pdf</w:t>
        </w:r>
      </w:hyperlink>
    </w:p>
  </w:footnote>
  <w:footnote w:id="82">
    <w:p w:rsidR="00BB0D96" w:rsidRDefault="00BB0D96" w:rsidP="005820E0">
      <w:pPr>
        <w:pStyle w:val="Default"/>
        <w:ind w:left="990" w:hanging="990"/>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DPHHS Emergency Operations Plan, </w:t>
      </w:r>
      <w:hyperlink r:id="rId68" w:history="1">
        <w:r>
          <w:rPr>
            <w:rStyle w:val="Hyperlink"/>
            <w:rFonts w:asciiTheme="minorHAnsi" w:hAnsiTheme="minorHAnsi"/>
            <w:sz w:val="18"/>
            <w:szCs w:val="18"/>
          </w:rPr>
          <w:t>http://www.dphhs.mt.gov/publichealth/phep/documents/dphhseop.pdf</w:t>
        </w:r>
      </w:hyperlink>
    </w:p>
  </w:footnote>
  <w:footnote w:id="83">
    <w:p w:rsidR="00BB0D96" w:rsidRDefault="00BB0D96" w:rsidP="005820E0">
      <w:pPr>
        <w:pStyle w:val="FootnoteText"/>
      </w:pPr>
      <w:r>
        <w:rPr>
          <w:rStyle w:val="FootnoteReference"/>
          <w:sz w:val="18"/>
          <w:szCs w:val="18"/>
        </w:rPr>
        <w:footnoteRef/>
      </w:r>
      <w:r>
        <w:rPr>
          <w:sz w:val="18"/>
          <w:szCs w:val="18"/>
        </w:rPr>
        <w:t xml:space="preserve">   Public Health Emergency Preparedness, Dec., 2010,  </w:t>
      </w:r>
      <w:hyperlink r:id="rId69" w:history="1">
        <w:r>
          <w:rPr>
            <w:rStyle w:val="Hyperlink"/>
            <w:sz w:val="18"/>
            <w:szCs w:val="18"/>
          </w:rPr>
          <w:t>http://www.dphhs.mt.gov/publichealth/phep/index.shtml</w:t>
        </w:r>
      </w:hyperlink>
    </w:p>
  </w:footnote>
  <w:footnote w:id="84">
    <w:p w:rsidR="00BB0D96" w:rsidRDefault="00BB0D96" w:rsidP="00EA6649">
      <w:pPr>
        <w:pStyle w:val="FootnoteText"/>
        <w:ind w:left="180" w:hanging="180"/>
        <w:rPr>
          <w:sz w:val="18"/>
          <w:szCs w:val="18"/>
        </w:rPr>
      </w:pPr>
      <w:r>
        <w:rPr>
          <w:rStyle w:val="FootnoteReference"/>
          <w:sz w:val="18"/>
          <w:szCs w:val="18"/>
        </w:rPr>
        <w:footnoteRef/>
      </w:r>
      <w:r>
        <w:rPr>
          <w:sz w:val="18"/>
          <w:szCs w:val="18"/>
        </w:rPr>
        <w:t xml:space="preserve">   </w:t>
      </w:r>
      <w:hyperlink r:id="rId70" w:history="1">
        <w:r>
          <w:rPr>
            <w:rStyle w:val="Hyperlink"/>
            <w:sz w:val="18"/>
            <w:szCs w:val="18"/>
          </w:rPr>
          <w:t xml:space="preserve">Public Health Preparedness Capabilities, National Standards for State and Local Planning </w:t>
        </w:r>
      </w:hyperlink>
    </w:p>
  </w:footnote>
  <w:footnote w:id="85">
    <w:p w:rsidR="00BB0D96" w:rsidRDefault="00BB0D96" w:rsidP="00EA6649">
      <w:pPr>
        <w:pStyle w:val="FootnoteText"/>
        <w:ind w:left="270" w:hanging="270"/>
        <w:rPr>
          <w:rFonts w:cstheme="minorHAnsi"/>
          <w:sz w:val="18"/>
          <w:szCs w:val="18"/>
        </w:rPr>
      </w:pPr>
      <w:r>
        <w:rPr>
          <w:rStyle w:val="FootnoteReference"/>
          <w:rFonts w:cstheme="minorHAnsi"/>
          <w:sz w:val="18"/>
          <w:szCs w:val="18"/>
        </w:rPr>
        <w:footnoteRef/>
      </w:r>
      <w:r>
        <w:rPr>
          <w:rFonts w:cstheme="minorHAnsi"/>
          <w:sz w:val="18"/>
          <w:szCs w:val="18"/>
        </w:rPr>
        <w:t xml:space="preserve">   Montana Emergency Preparedness Plan for At-Risk/Special Populations, Version 2.3, Aug. 29,2008, </w:t>
      </w:r>
      <w:hyperlink r:id="rId71" w:history="1">
        <w:r>
          <w:rPr>
            <w:rStyle w:val="Hyperlink"/>
            <w:rFonts w:cstheme="minorHAnsi"/>
            <w:sz w:val="18"/>
            <w:szCs w:val="18"/>
          </w:rPr>
          <w:t>Preparedness for  Functional Needs</w:t>
        </w:r>
      </w:hyperlink>
      <w:r>
        <w:rPr>
          <w:sz w:val="18"/>
          <w:szCs w:val="18"/>
        </w:rPr>
        <w:t xml:space="preserve">  </w:t>
      </w:r>
    </w:p>
  </w:footnote>
  <w:footnote w:id="86">
    <w:p w:rsidR="00BB0D96" w:rsidRDefault="00BB0D96" w:rsidP="00EA6649">
      <w:pPr>
        <w:pStyle w:val="FootnoteText"/>
      </w:pPr>
      <w:r>
        <w:rPr>
          <w:rStyle w:val="FootnoteReference"/>
        </w:rPr>
        <w:footnoteRef/>
      </w:r>
      <w:r>
        <w:t xml:space="preserve"> </w:t>
      </w:r>
      <w:hyperlink r:id="rId72" w:history="1">
        <w:r>
          <w:rPr>
            <w:rStyle w:val="Hyperlink"/>
          </w:rPr>
          <w:t>http://mtdh.ruralinstitute.umt.edu/?page_id=123</w:t>
        </w:r>
      </w:hyperlink>
    </w:p>
  </w:footnote>
  <w:footnote w:id="87">
    <w:p w:rsidR="00BB0D96" w:rsidRPr="00A90013" w:rsidRDefault="00BB0D96" w:rsidP="00AF7503">
      <w:pPr>
        <w:pStyle w:val="FootnoteText"/>
        <w:ind w:left="270" w:hanging="270"/>
        <w:rPr>
          <w:rFonts w:cstheme="minorHAnsi"/>
        </w:rPr>
      </w:pPr>
      <w:r>
        <w:rPr>
          <w:rStyle w:val="FootnoteReference"/>
        </w:rPr>
        <w:footnoteRef/>
      </w:r>
      <w:r>
        <w:t xml:space="preserve">  </w:t>
      </w:r>
      <w:r w:rsidRPr="00D77406">
        <w:rPr>
          <w:rFonts w:cstheme="minorHAnsi"/>
          <w:sz w:val="18"/>
          <w:szCs w:val="18"/>
        </w:rPr>
        <w:t>Seekins, T., Katz, M. R., &amp; Ravesloot, C. (2008, March). Nursing home emancipation: Accomplishments of urban and rural centers for independent living. Rural Disability and Rehabilitation Research Progress Report #39. Missoula: The University of Montana Rural Institute.</w:t>
      </w:r>
    </w:p>
  </w:footnote>
  <w:footnote w:id="88">
    <w:p w:rsidR="00BB0D96" w:rsidRPr="00791859" w:rsidRDefault="00BB0D96" w:rsidP="00625FF6">
      <w:pPr>
        <w:pStyle w:val="FootnoteText"/>
        <w:rPr>
          <w:sz w:val="18"/>
          <w:szCs w:val="18"/>
        </w:rPr>
      </w:pPr>
      <w:r w:rsidRPr="00791859">
        <w:rPr>
          <w:rStyle w:val="FootnoteReference"/>
          <w:sz w:val="18"/>
          <w:szCs w:val="18"/>
        </w:rPr>
        <w:footnoteRef/>
      </w:r>
      <w:r>
        <w:rPr>
          <w:sz w:val="18"/>
          <w:szCs w:val="18"/>
        </w:rPr>
        <w:t xml:space="preserve"> </w:t>
      </w:r>
      <w:r w:rsidRPr="00791859">
        <w:rPr>
          <w:sz w:val="18"/>
          <w:szCs w:val="18"/>
        </w:rPr>
        <w:t>Ibid. Conclusion,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96" w:rsidRDefault="00BB0D96" w:rsidP="00541BC1">
    <w:pPr>
      <w:pStyle w:val="Header"/>
    </w:pPr>
  </w:p>
  <w:p w:rsidR="00BB0D96" w:rsidRPr="00541BC1" w:rsidRDefault="00BB0D96" w:rsidP="00541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4E7"/>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2867"/>
    <w:multiLevelType w:val="hybridMultilevel"/>
    <w:tmpl w:val="48A0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059BC"/>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B1E4A"/>
    <w:multiLevelType w:val="hybridMultilevel"/>
    <w:tmpl w:val="567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42642"/>
    <w:multiLevelType w:val="hybridMultilevel"/>
    <w:tmpl w:val="8DE61C70"/>
    <w:lvl w:ilvl="0" w:tplc="25A0E592">
      <w:start w:val="1"/>
      <w:numFmt w:val="bullet"/>
      <w:lvlText w:val=""/>
      <w:lvlJc w:val="left"/>
      <w:pPr>
        <w:ind w:left="908" w:hanging="360"/>
      </w:pPr>
      <w:rPr>
        <w:rFonts w:ascii="Symbol" w:hAnsi="Symbol" w:hint="default"/>
        <w:sz w:val="16"/>
        <w:szCs w:val="16"/>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5">
    <w:nsid w:val="05E02390"/>
    <w:multiLevelType w:val="hybridMultilevel"/>
    <w:tmpl w:val="E940BB86"/>
    <w:lvl w:ilvl="0" w:tplc="FEE2D4B8">
      <w:start w:val="1"/>
      <w:numFmt w:val="bullet"/>
      <w:lvlText w:val=""/>
      <w:lvlJc w:val="left"/>
      <w:pPr>
        <w:ind w:left="810" w:hanging="360"/>
      </w:pPr>
      <w:rPr>
        <w:rFonts w:ascii="Symbol" w:hAnsi="Symbol" w:hint="default"/>
      </w:rPr>
    </w:lvl>
    <w:lvl w:ilvl="1" w:tplc="DC0C75AC">
      <w:start w:val="1"/>
      <w:numFmt w:val="bullet"/>
      <w:lvlText w:val=""/>
      <w:lvlJc w:val="left"/>
      <w:pPr>
        <w:ind w:left="1890" w:hanging="360"/>
      </w:pPr>
      <w:rPr>
        <w:rFonts w:ascii="Symbol" w:hAnsi="Symbol" w:hint="default"/>
        <w:sz w:val="22"/>
        <w:szCs w:val="22"/>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60D4054"/>
    <w:multiLevelType w:val="hybridMultilevel"/>
    <w:tmpl w:val="187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911E55"/>
    <w:multiLevelType w:val="hybridMultilevel"/>
    <w:tmpl w:val="AEC0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4357DB"/>
    <w:multiLevelType w:val="hybridMultilevel"/>
    <w:tmpl w:val="52E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9E66A1"/>
    <w:multiLevelType w:val="hybridMultilevel"/>
    <w:tmpl w:val="0DA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4363F8"/>
    <w:multiLevelType w:val="hybridMultilevel"/>
    <w:tmpl w:val="EDC8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597DD2"/>
    <w:multiLevelType w:val="hybridMultilevel"/>
    <w:tmpl w:val="7B68B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CED2373"/>
    <w:multiLevelType w:val="hybridMultilevel"/>
    <w:tmpl w:val="707E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E7ADC"/>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5E4192"/>
    <w:multiLevelType w:val="hybridMultilevel"/>
    <w:tmpl w:val="CF2C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A9087F"/>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E1377B"/>
    <w:multiLevelType w:val="hybridMultilevel"/>
    <w:tmpl w:val="2FC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06641F"/>
    <w:multiLevelType w:val="hybridMultilevel"/>
    <w:tmpl w:val="940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2B70CD"/>
    <w:multiLevelType w:val="hybridMultilevel"/>
    <w:tmpl w:val="5FF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335AD"/>
    <w:multiLevelType w:val="hybridMultilevel"/>
    <w:tmpl w:val="E0E2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532B3F"/>
    <w:multiLevelType w:val="hybridMultilevel"/>
    <w:tmpl w:val="748CB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F2A3507"/>
    <w:multiLevelType w:val="hybridMultilevel"/>
    <w:tmpl w:val="1B3C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825856"/>
    <w:multiLevelType w:val="hybridMultilevel"/>
    <w:tmpl w:val="2AA20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CA6FBE"/>
    <w:multiLevelType w:val="hybridMultilevel"/>
    <w:tmpl w:val="238C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6F699D"/>
    <w:multiLevelType w:val="hybridMultilevel"/>
    <w:tmpl w:val="E5EA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753635"/>
    <w:multiLevelType w:val="hybridMultilevel"/>
    <w:tmpl w:val="C7AE0146"/>
    <w:lvl w:ilvl="0" w:tplc="17020E94">
      <w:start w:val="1"/>
      <w:numFmt w:val="bullet"/>
      <w:pStyle w:val="ReportList"/>
      <w:lvlText w:val=""/>
      <w:lvlJc w:val="left"/>
      <w:pPr>
        <w:ind w:left="720" w:hanging="360"/>
      </w:pPr>
      <w:rPr>
        <w:rFonts w:ascii="Symbol" w:hAnsi="Symbol" w:hint="default"/>
        <w:b w:val="0"/>
        <w:color w:val="1F497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42D66"/>
    <w:multiLevelType w:val="hybridMultilevel"/>
    <w:tmpl w:val="BBC0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BC4D32"/>
    <w:multiLevelType w:val="hybridMultilevel"/>
    <w:tmpl w:val="7C10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8860AE"/>
    <w:multiLevelType w:val="hybridMultilevel"/>
    <w:tmpl w:val="8538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367433"/>
    <w:multiLevelType w:val="hybridMultilevel"/>
    <w:tmpl w:val="E27C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5B0EAF"/>
    <w:multiLevelType w:val="hybridMultilevel"/>
    <w:tmpl w:val="7AD4A300"/>
    <w:lvl w:ilvl="0" w:tplc="DC0C75AC">
      <w:start w:val="1"/>
      <w:numFmt w:val="bullet"/>
      <w:lvlText w:val=""/>
      <w:lvlJc w:val="left"/>
      <w:pPr>
        <w:ind w:left="780" w:hanging="360"/>
      </w:pPr>
      <w:rPr>
        <w:rFonts w:ascii="Symbol" w:hAnsi="Symbol" w:hint="default"/>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28A74A44"/>
    <w:multiLevelType w:val="hybridMultilevel"/>
    <w:tmpl w:val="9216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2100A9"/>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8D20D2"/>
    <w:multiLevelType w:val="hybridMultilevel"/>
    <w:tmpl w:val="8AEC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55030D"/>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8654BC"/>
    <w:multiLevelType w:val="hybridMultilevel"/>
    <w:tmpl w:val="E012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A57878"/>
    <w:multiLevelType w:val="hybridMultilevel"/>
    <w:tmpl w:val="D34E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6530C6"/>
    <w:multiLevelType w:val="hybridMultilevel"/>
    <w:tmpl w:val="B8D2F17A"/>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8">
    <w:nsid w:val="30C6672D"/>
    <w:multiLevelType w:val="hybridMultilevel"/>
    <w:tmpl w:val="11B488D2"/>
    <w:lvl w:ilvl="0" w:tplc="18AA74CE">
      <w:start w:val="1"/>
      <w:numFmt w:val="bullet"/>
      <w:lvlText w:val=""/>
      <w:lvlJc w:val="left"/>
      <w:pPr>
        <w:ind w:left="908"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9C546A"/>
    <w:multiLevelType w:val="hybridMultilevel"/>
    <w:tmpl w:val="5568E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A27C66"/>
    <w:multiLevelType w:val="hybridMultilevel"/>
    <w:tmpl w:val="4AAC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DF2ED1"/>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453B10"/>
    <w:multiLevelType w:val="hybridMultilevel"/>
    <w:tmpl w:val="26BC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552466"/>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A55711"/>
    <w:multiLevelType w:val="hybridMultilevel"/>
    <w:tmpl w:val="D41A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05747D"/>
    <w:multiLevelType w:val="hybridMultilevel"/>
    <w:tmpl w:val="54E0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642C22"/>
    <w:multiLevelType w:val="hybridMultilevel"/>
    <w:tmpl w:val="B0FE70CE"/>
    <w:lvl w:ilvl="0" w:tplc="F0FEDF0C">
      <w:numFmt w:val="bullet"/>
      <w:lvlText w:val=""/>
      <w:lvlJc w:val="left"/>
      <w:pPr>
        <w:ind w:left="1800" w:hanging="360"/>
      </w:pPr>
      <w:rPr>
        <w:rFonts w:ascii="Symbol" w:eastAsiaTheme="minorHAnsi" w:hAnsi="Symbol" w:cs="Courier New"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A56B7B"/>
    <w:multiLevelType w:val="hybridMultilevel"/>
    <w:tmpl w:val="17A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170A41"/>
    <w:multiLevelType w:val="hybridMultilevel"/>
    <w:tmpl w:val="1D688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364253A"/>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855F1E"/>
    <w:multiLevelType w:val="hybridMultilevel"/>
    <w:tmpl w:val="A5E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861E04"/>
    <w:multiLevelType w:val="hybridMultilevel"/>
    <w:tmpl w:val="84566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5A49D5"/>
    <w:multiLevelType w:val="hybridMultilevel"/>
    <w:tmpl w:val="4FAA9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003D3A"/>
    <w:multiLevelType w:val="hybridMultilevel"/>
    <w:tmpl w:val="2A7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3D6259"/>
    <w:multiLevelType w:val="hybridMultilevel"/>
    <w:tmpl w:val="6D28FA2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nsid w:val="48616444"/>
    <w:multiLevelType w:val="hybridMultilevel"/>
    <w:tmpl w:val="FE34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080F32"/>
    <w:multiLevelType w:val="hybridMultilevel"/>
    <w:tmpl w:val="E942086C"/>
    <w:lvl w:ilvl="0" w:tplc="DC0C75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9296B12"/>
    <w:multiLevelType w:val="hybridMultilevel"/>
    <w:tmpl w:val="6A407C74"/>
    <w:lvl w:ilvl="0" w:tplc="CCDA728A">
      <w:start w:val="1"/>
      <w:numFmt w:val="bullet"/>
      <w:lvlText w:val=""/>
      <w:lvlJc w:val="left"/>
      <w:pPr>
        <w:ind w:left="720" w:hanging="360"/>
      </w:pPr>
      <w:rPr>
        <w:rFonts w:ascii="Symbol" w:hAnsi="Symbol" w:hint="default"/>
        <w:color w:val="404040" w:themeColor="text1" w:themeTint="BF"/>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9EA563C"/>
    <w:multiLevelType w:val="hybridMultilevel"/>
    <w:tmpl w:val="0000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FA5116"/>
    <w:multiLevelType w:val="hybridMultilevel"/>
    <w:tmpl w:val="975AD2AA"/>
    <w:lvl w:ilvl="0" w:tplc="18AA74CE">
      <w:start w:val="1"/>
      <w:numFmt w:val="bullet"/>
      <w:lvlText w:val=""/>
      <w:lvlJc w:val="left"/>
      <w:pPr>
        <w:ind w:left="908"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FE6509"/>
    <w:multiLevelType w:val="hybridMultilevel"/>
    <w:tmpl w:val="CBBA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167967"/>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AC2406B"/>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CCB5190"/>
    <w:multiLevelType w:val="hybridMultilevel"/>
    <w:tmpl w:val="801E7958"/>
    <w:lvl w:ilvl="0" w:tplc="FEE2D4B8">
      <w:start w:val="1"/>
      <w:numFmt w:val="bullet"/>
      <w:lvlText w:val=""/>
      <w:lvlJc w:val="left"/>
      <w:pPr>
        <w:ind w:left="810" w:hanging="360"/>
      </w:pPr>
      <w:rPr>
        <w:rFonts w:ascii="Symbol" w:hAnsi="Symbol" w:hint="default"/>
      </w:rPr>
    </w:lvl>
    <w:lvl w:ilvl="1" w:tplc="DC0C75AC">
      <w:start w:val="1"/>
      <w:numFmt w:val="bullet"/>
      <w:lvlText w:val=""/>
      <w:lvlJc w:val="left"/>
      <w:pPr>
        <w:ind w:left="1890" w:hanging="360"/>
      </w:pPr>
      <w:rPr>
        <w:rFonts w:ascii="Symbol" w:hAnsi="Symbol" w:hint="default"/>
        <w:sz w:val="22"/>
        <w:szCs w:val="22"/>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nsid w:val="4DFA261E"/>
    <w:multiLevelType w:val="hybridMultilevel"/>
    <w:tmpl w:val="1AAE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E50063F"/>
    <w:multiLevelType w:val="hybridMultilevel"/>
    <w:tmpl w:val="827A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470884"/>
    <w:multiLevelType w:val="hybridMultilevel"/>
    <w:tmpl w:val="E2A4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3A80BF8"/>
    <w:multiLevelType w:val="hybridMultilevel"/>
    <w:tmpl w:val="C7D0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4591BF0"/>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6827128"/>
    <w:multiLevelType w:val="hybridMultilevel"/>
    <w:tmpl w:val="9426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6DA3087"/>
    <w:multiLevelType w:val="hybridMultilevel"/>
    <w:tmpl w:val="ED044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7EE096E"/>
    <w:multiLevelType w:val="hybridMultilevel"/>
    <w:tmpl w:val="F502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DD5DC5"/>
    <w:multiLevelType w:val="hybridMultilevel"/>
    <w:tmpl w:val="52B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2850E1"/>
    <w:multiLevelType w:val="hybridMultilevel"/>
    <w:tmpl w:val="415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BF81265"/>
    <w:multiLevelType w:val="hybridMultilevel"/>
    <w:tmpl w:val="BE78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2B10B3"/>
    <w:multiLevelType w:val="hybridMultilevel"/>
    <w:tmpl w:val="BE24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B71D2F"/>
    <w:multiLevelType w:val="hybridMultilevel"/>
    <w:tmpl w:val="D8363C9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77">
    <w:nsid w:val="621169B6"/>
    <w:multiLevelType w:val="hybridMultilevel"/>
    <w:tmpl w:val="4C0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BA44CF"/>
    <w:multiLevelType w:val="hybridMultilevel"/>
    <w:tmpl w:val="1482297C"/>
    <w:lvl w:ilvl="0" w:tplc="DC0C75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D3081C"/>
    <w:multiLevelType w:val="hybridMultilevel"/>
    <w:tmpl w:val="FDF420C6"/>
    <w:lvl w:ilvl="0" w:tplc="E0A6C50C">
      <w:start w:val="1"/>
      <w:numFmt w:val="bullet"/>
      <w:pStyle w:val="ListParagraph"/>
      <w:lvlText w:val=""/>
      <w:lvlJc w:val="left"/>
      <w:pPr>
        <w:ind w:left="806" w:hanging="360"/>
      </w:pPr>
      <w:rPr>
        <w:rFonts w:ascii="Symbol" w:hAnsi="Symbol" w:hint="default"/>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0">
    <w:nsid w:val="64926E72"/>
    <w:multiLevelType w:val="hybridMultilevel"/>
    <w:tmpl w:val="C386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4B83BA5"/>
    <w:multiLevelType w:val="hybridMultilevel"/>
    <w:tmpl w:val="D06EA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15325F"/>
    <w:multiLevelType w:val="hybridMultilevel"/>
    <w:tmpl w:val="2968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6AE786E"/>
    <w:multiLevelType w:val="hybridMultilevel"/>
    <w:tmpl w:val="EE5A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A43495C"/>
    <w:multiLevelType w:val="hybridMultilevel"/>
    <w:tmpl w:val="2E06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FD4688"/>
    <w:multiLevelType w:val="hybridMultilevel"/>
    <w:tmpl w:val="391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B4E5A74"/>
    <w:multiLevelType w:val="hybridMultilevel"/>
    <w:tmpl w:val="DF88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846E85"/>
    <w:multiLevelType w:val="hybridMultilevel"/>
    <w:tmpl w:val="4D88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B918C6"/>
    <w:multiLevelType w:val="hybridMultilevel"/>
    <w:tmpl w:val="3EA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CA09CC"/>
    <w:multiLevelType w:val="hybridMultilevel"/>
    <w:tmpl w:val="2FDA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182DE2"/>
    <w:multiLevelType w:val="hybridMultilevel"/>
    <w:tmpl w:val="E808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7E0584"/>
    <w:multiLevelType w:val="hybridMultilevel"/>
    <w:tmpl w:val="C6E83D28"/>
    <w:lvl w:ilvl="0" w:tplc="DC0C75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05113BC"/>
    <w:multiLevelType w:val="hybridMultilevel"/>
    <w:tmpl w:val="7DBC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C87413"/>
    <w:multiLevelType w:val="hybridMultilevel"/>
    <w:tmpl w:val="783C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0C38F0"/>
    <w:multiLevelType w:val="hybridMultilevel"/>
    <w:tmpl w:val="8A788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16D2391"/>
    <w:multiLevelType w:val="hybridMultilevel"/>
    <w:tmpl w:val="A99667C4"/>
    <w:lvl w:ilvl="0" w:tplc="9EF6CBE8">
      <w:start w:val="1"/>
      <w:numFmt w:val="bullet"/>
      <w:lvlText w:val=""/>
      <w:lvlJc w:val="left"/>
      <w:pPr>
        <w:ind w:left="1080" w:hanging="360"/>
      </w:pPr>
      <w:rPr>
        <w:rFonts w:ascii="Symbol" w:hAnsi="Symbol" w:hint="default"/>
        <w:color w:val="595959" w:themeColor="text1" w:themeTint="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45B24C1"/>
    <w:multiLevelType w:val="hybridMultilevel"/>
    <w:tmpl w:val="8F4C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0A44DC"/>
    <w:multiLevelType w:val="hybridMultilevel"/>
    <w:tmpl w:val="E9C6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9352CBC"/>
    <w:multiLevelType w:val="hybridMultilevel"/>
    <w:tmpl w:val="CF8A5918"/>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9">
    <w:nsid w:val="79B5766E"/>
    <w:multiLevelType w:val="hybridMultilevel"/>
    <w:tmpl w:val="6488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1B0057"/>
    <w:multiLevelType w:val="hybridMultilevel"/>
    <w:tmpl w:val="66B2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CB61D02"/>
    <w:multiLevelType w:val="multilevel"/>
    <w:tmpl w:val="F252CD4A"/>
    <w:lvl w:ilvl="0">
      <w:start w:val="1"/>
      <w:numFmt w:val="bullet"/>
      <w:lvlText w:val=""/>
      <w:lvlJc w:val="left"/>
      <w:pPr>
        <w:tabs>
          <w:tab w:val="num" w:pos="720"/>
        </w:tabs>
        <w:ind w:left="720" w:hanging="360"/>
      </w:pPr>
      <w:rPr>
        <w:rFonts w:ascii="Symbol" w:hAnsi="Symbol" w:hint="default"/>
        <w:color w:val="5F497A" w:themeColor="accent4" w:themeShade="BF"/>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9"/>
  </w:num>
  <w:num w:numId="2">
    <w:abstractNumId w:val="25"/>
  </w:num>
  <w:num w:numId="3">
    <w:abstractNumId w:val="91"/>
  </w:num>
  <w:num w:numId="4">
    <w:abstractNumId w:val="56"/>
  </w:num>
  <w:num w:numId="5">
    <w:abstractNumId w:val="30"/>
  </w:num>
  <w:num w:numId="6">
    <w:abstractNumId w:val="78"/>
  </w:num>
  <w:num w:numId="7">
    <w:abstractNumId w:val="4"/>
  </w:num>
  <w:num w:numId="8">
    <w:abstractNumId w:val="59"/>
  </w:num>
  <w:num w:numId="9">
    <w:abstractNumId w:val="38"/>
  </w:num>
  <w:num w:numId="10">
    <w:abstractNumId w:val="48"/>
  </w:num>
  <w:num w:numId="11">
    <w:abstractNumId w:val="29"/>
  </w:num>
  <w:num w:numId="12">
    <w:abstractNumId w:val="57"/>
  </w:num>
  <w:num w:numId="13">
    <w:abstractNumId w:val="76"/>
  </w:num>
  <w:num w:numId="14">
    <w:abstractNumId w:val="95"/>
  </w:num>
  <w:num w:numId="15">
    <w:abstractNumId w:val="45"/>
  </w:num>
  <w:num w:numId="16">
    <w:abstractNumId w:val="72"/>
  </w:num>
  <w:num w:numId="17">
    <w:abstractNumId w:val="99"/>
  </w:num>
  <w:num w:numId="18">
    <w:abstractNumId w:val="87"/>
  </w:num>
  <w:num w:numId="19">
    <w:abstractNumId w:val="82"/>
  </w:num>
  <w:num w:numId="20">
    <w:abstractNumId w:val="12"/>
  </w:num>
  <w:num w:numId="21">
    <w:abstractNumId w:val="71"/>
  </w:num>
  <w:num w:numId="22">
    <w:abstractNumId w:val="53"/>
  </w:num>
  <w:num w:numId="23">
    <w:abstractNumId w:val="94"/>
  </w:num>
  <w:num w:numId="24">
    <w:abstractNumId w:val="81"/>
  </w:num>
  <w:num w:numId="25">
    <w:abstractNumId w:val="9"/>
  </w:num>
  <w:num w:numId="26">
    <w:abstractNumId w:val="86"/>
  </w:num>
  <w:num w:numId="27">
    <w:abstractNumId w:val="16"/>
  </w:num>
  <w:num w:numId="28">
    <w:abstractNumId w:val="18"/>
  </w:num>
  <w:num w:numId="29">
    <w:abstractNumId w:val="69"/>
  </w:num>
  <w:num w:numId="30">
    <w:abstractNumId w:val="15"/>
  </w:num>
  <w:num w:numId="31">
    <w:abstractNumId w:val="49"/>
  </w:num>
  <w:num w:numId="32">
    <w:abstractNumId w:val="68"/>
  </w:num>
  <w:num w:numId="33">
    <w:abstractNumId w:val="2"/>
  </w:num>
  <w:num w:numId="34">
    <w:abstractNumId w:val="65"/>
  </w:num>
  <w:num w:numId="35">
    <w:abstractNumId w:val="7"/>
  </w:num>
  <w:num w:numId="36">
    <w:abstractNumId w:val="21"/>
  </w:num>
  <w:num w:numId="37">
    <w:abstractNumId w:val="23"/>
  </w:num>
  <w:num w:numId="38">
    <w:abstractNumId w:val="54"/>
  </w:num>
  <w:num w:numId="39">
    <w:abstractNumId w:val="40"/>
  </w:num>
  <w:num w:numId="40">
    <w:abstractNumId w:val="5"/>
  </w:num>
  <w:num w:numId="41">
    <w:abstractNumId w:val="63"/>
  </w:num>
  <w:num w:numId="42">
    <w:abstractNumId w:val="51"/>
  </w:num>
  <w:num w:numId="43">
    <w:abstractNumId w:val="60"/>
  </w:num>
  <w:num w:numId="44">
    <w:abstractNumId w:val="37"/>
  </w:num>
  <w:num w:numId="45">
    <w:abstractNumId w:val="6"/>
  </w:num>
  <w:num w:numId="46">
    <w:abstractNumId w:val="83"/>
  </w:num>
  <w:num w:numId="47">
    <w:abstractNumId w:val="42"/>
  </w:num>
  <w:num w:numId="48">
    <w:abstractNumId w:val="44"/>
  </w:num>
  <w:num w:numId="49">
    <w:abstractNumId w:val="98"/>
  </w:num>
  <w:num w:numId="50">
    <w:abstractNumId w:val="90"/>
  </w:num>
  <w:num w:numId="51">
    <w:abstractNumId w:val="8"/>
  </w:num>
  <w:num w:numId="52">
    <w:abstractNumId w:val="19"/>
  </w:num>
  <w:num w:numId="53">
    <w:abstractNumId w:val="3"/>
  </w:num>
  <w:num w:numId="54">
    <w:abstractNumId w:val="84"/>
  </w:num>
  <w:num w:numId="55">
    <w:abstractNumId w:val="36"/>
  </w:num>
  <w:num w:numId="56">
    <w:abstractNumId w:val="74"/>
  </w:num>
  <w:num w:numId="57">
    <w:abstractNumId w:val="97"/>
  </w:num>
  <w:num w:numId="58">
    <w:abstractNumId w:val="75"/>
  </w:num>
  <w:num w:numId="59">
    <w:abstractNumId w:val="73"/>
  </w:num>
  <w:num w:numId="60">
    <w:abstractNumId w:val="20"/>
  </w:num>
  <w:num w:numId="61">
    <w:abstractNumId w:val="66"/>
  </w:num>
  <w:num w:numId="62">
    <w:abstractNumId w:val="62"/>
  </w:num>
  <w:num w:numId="63">
    <w:abstractNumId w:val="34"/>
  </w:num>
  <w:num w:numId="64">
    <w:abstractNumId w:val="43"/>
  </w:num>
  <w:num w:numId="65">
    <w:abstractNumId w:val="13"/>
  </w:num>
  <w:num w:numId="66">
    <w:abstractNumId w:val="32"/>
  </w:num>
  <w:num w:numId="67">
    <w:abstractNumId w:val="61"/>
  </w:num>
  <w:num w:numId="68">
    <w:abstractNumId w:val="0"/>
  </w:num>
  <w:num w:numId="69">
    <w:abstractNumId w:val="101"/>
  </w:num>
  <w:num w:numId="70">
    <w:abstractNumId w:val="41"/>
  </w:num>
  <w:num w:numId="71">
    <w:abstractNumId w:val="31"/>
  </w:num>
  <w:num w:numId="72">
    <w:abstractNumId w:val="11"/>
  </w:num>
  <w:num w:numId="73">
    <w:abstractNumId w:val="33"/>
  </w:num>
  <w:num w:numId="74">
    <w:abstractNumId w:val="39"/>
  </w:num>
  <w:num w:numId="75">
    <w:abstractNumId w:val="64"/>
  </w:num>
  <w:num w:numId="76">
    <w:abstractNumId w:val="100"/>
  </w:num>
  <w:num w:numId="77">
    <w:abstractNumId w:val="26"/>
  </w:num>
  <w:num w:numId="78">
    <w:abstractNumId w:val="50"/>
  </w:num>
  <w:num w:numId="79">
    <w:abstractNumId w:val="89"/>
  </w:num>
  <w:num w:numId="80">
    <w:abstractNumId w:val="24"/>
  </w:num>
  <w:num w:numId="81">
    <w:abstractNumId w:val="10"/>
  </w:num>
  <w:num w:numId="82">
    <w:abstractNumId w:val="80"/>
  </w:num>
  <w:num w:numId="83">
    <w:abstractNumId w:val="58"/>
  </w:num>
  <w:num w:numId="84">
    <w:abstractNumId w:val="28"/>
  </w:num>
  <w:num w:numId="85">
    <w:abstractNumId w:val="46"/>
  </w:num>
  <w:num w:numId="86">
    <w:abstractNumId w:val="88"/>
  </w:num>
  <w:num w:numId="87">
    <w:abstractNumId w:val="77"/>
  </w:num>
  <w:num w:numId="88">
    <w:abstractNumId w:val="93"/>
  </w:num>
  <w:num w:numId="89">
    <w:abstractNumId w:val="27"/>
  </w:num>
  <w:num w:numId="90">
    <w:abstractNumId w:val="55"/>
  </w:num>
  <w:num w:numId="91">
    <w:abstractNumId w:val="70"/>
  </w:num>
  <w:num w:numId="92">
    <w:abstractNumId w:val="96"/>
  </w:num>
  <w:num w:numId="93">
    <w:abstractNumId w:val="47"/>
  </w:num>
  <w:num w:numId="94">
    <w:abstractNumId w:val="67"/>
  </w:num>
  <w:num w:numId="95">
    <w:abstractNumId w:val="1"/>
  </w:num>
  <w:num w:numId="96">
    <w:abstractNumId w:val="92"/>
  </w:num>
  <w:num w:numId="97">
    <w:abstractNumId w:val="85"/>
  </w:num>
  <w:num w:numId="98">
    <w:abstractNumId w:val="14"/>
  </w:num>
  <w:num w:numId="99">
    <w:abstractNumId w:val="22"/>
  </w:num>
  <w:num w:numId="100">
    <w:abstractNumId w:val="52"/>
  </w:num>
  <w:num w:numId="101">
    <w:abstractNumId w:val="35"/>
  </w:num>
  <w:num w:numId="102">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55"/>
    <w:rsid w:val="0000173A"/>
    <w:rsid w:val="00011E2F"/>
    <w:rsid w:val="000135A3"/>
    <w:rsid w:val="000153AB"/>
    <w:rsid w:val="00016B08"/>
    <w:rsid w:val="00017D25"/>
    <w:rsid w:val="000204F6"/>
    <w:rsid w:val="00023406"/>
    <w:rsid w:val="000247A6"/>
    <w:rsid w:val="00034877"/>
    <w:rsid w:val="00035857"/>
    <w:rsid w:val="0003758C"/>
    <w:rsid w:val="0004106B"/>
    <w:rsid w:val="000508A2"/>
    <w:rsid w:val="00053137"/>
    <w:rsid w:val="00054CF1"/>
    <w:rsid w:val="00055C3A"/>
    <w:rsid w:val="00055F95"/>
    <w:rsid w:val="000567AB"/>
    <w:rsid w:val="00057F0F"/>
    <w:rsid w:val="000602B8"/>
    <w:rsid w:val="00066B2E"/>
    <w:rsid w:val="00067FEC"/>
    <w:rsid w:val="00083465"/>
    <w:rsid w:val="000835E5"/>
    <w:rsid w:val="000837A2"/>
    <w:rsid w:val="000936D4"/>
    <w:rsid w:val="00096FA8"/>
    <w:rsid w:val="00097FAC"/>
    <w:rsid w:val="000A25DA"/>
    <w:rsid w:val="000A671A"/>
    <w:rsid w:val="000A7C74"/>
    <w:rsid w:val="000B2733"/>
    <w:rsid w:val="000B2ABB"/>
    <w:rsid w:val="000B4EC0"/>
    <w:rsid w:val="000B5922"/>
    <w:rsid w:val="000B70AD"/>
    <w:rsid w:val="000C3298"/>
    <w:rsid w:val="000C4104"/>
    <w:rsid w:val="000D2256"/>
    <w:rsid w:val="000D4F7C"/>
    <w:rsid w:val="000E2961"/>
    <w:rsid w:val="000E353B"/>
    <w:rsid w:val="000E4223"/>
    <w:rsid w:val="000E557E"/>
    <w:rsid w:val="000F32BE"/>
    <w:rsid w:val="000F38A3"/>
    <w:rsid w:val="000F41C2"/>
    <w:rsid w:val="000F5C61"/>
    <w:rsid w:val="00106B97"/>
    <w:rsid w:val="0011320E"/>
    <w:rsid w:val="001177AF"/>
    <w:rsid w:val="0012175C"/>
    <w:rsid w:val="001219E2"/>
    <w:rsid w:val="00130454"/>
    <w:rsid w:val="00131B78"/>
    <w:rsid w:val="0013364A"/>
    <w:rsid w:val="00140CAB"/>
    <w:rsid w:val="00145C2E"/>
    <w:rsid w:val="00147802"/>
    <w:rsid w:val="001508B3"/>
    <w:rsid w:val="0015268E"/>
    <w:rsid w:val="00153AE9"/>
    <w:rsid w:val="00164A9F"/>
    <w:rsid w:val="00165C81"/>
    <w:rsid w:val="0016664F"/>
    <w:rsid w:val="001710CA"/>
    <w:rsid w:val="00172C90"/>
    <w:rsid w:val="00172EA9"/>
    <w:rsid w:val="00173D75"/>
    <w:rsid w:val="0017696F"/>
    <w:rsid w:val="0017794A"/>
    <w:rsid w:val="00183E4A"/>
    <w:rsid w:val="001A28E9"/>
    <w:rsid w:val="001A2921"/>
    <w:rsid w:val="001A5F63"/>
    <w:rsid w:val="001A6BC4"/>
    <w:rsid w:val="001B4DD0"/>
    <w:rsid w:val="001C6769"/>
    <w:rsid w:val="001D00AA"/>
    <w:rsid w:val="001D2864"/>
    <w:rsid w:val="001D2D9C"/>
    <w:rsid w:val="001D435E"/>
    <w:rsid w:val="001D43D1"/>
    <w:rsid w:val="001D4CA1"/>
    <w:rsid w:val="001D6F12"/>
    <w:rsid w:val="001E2BE8"/>
    <w:rsid w:val="001E3015"/>
    <w:rsid w:val="001E3BD3"/>
    <w:rsid w:val="001F492C"/>
    <w:rsid w:val="001F7318"/>
    <w:rsid w:val="001F7972"/>
    <w:rsid w:val="0020019A"/>
    <w:rsid w:val="002014F7"/>
    <w:rsid w:val="00204455"/>
    <w:rsid w:val="0021022B"/>
    <w:rsid w:val="002168D9"/>
    <w:rsid w:val="00221CB3"/>
    <w:rsid w:val="00225152"/>
    <w:rsid w:val="002254AB"/>
    <w:rsid w:val="002270D6"/>
    <w:rsid w:val="002313F6"/>
    <w:rsid w:val="0023663B"/>
    <w:rsid w:val="00240A73"/>
    <w:rsid w:val="00242A54"/>
    <w:rsid w:val="00251BBD"/>
    <w:rsid w:val="00256A7A"/>
    <w:rsid w:val="00262039"/>
    <w:rsid w:val="00266E19"/>
    <w:rsid w:val="00267DB6"/>
    <w:rsid w:val="00274756"/>
    <w:rsid w:val="00281C5B"/>
    <w:rsid w:val="002A064C"/>
    <w:rsid w:val="002A4018"/>
    <w:rsid w:val="002A68EA"/>
    <w:rsid w:val="002A6BBF"/>
    <w:rsid w:val="002B17A4"/>
    <w:rsid w:val="002B240A"/>
    <w:rsid w:val="002B57C1"/>
    <w:rsid w:val="002C1A7C"/>
    <w:rsid w:val="002C2969"/>
    <w:rsid w:val="002D0E2D"/>
    <w:rsid w:val="002D48CC"/>
    <w:rsid w:val="002D61E5"/>
    <w:rsid w:val="002E0FC9"/>
    <w:rsid w:val="002F02E9"/>
    <w:rsid w:val="002F36A9"/>
    <w:rsid w:val="0030220A"/>
    <w:rsid w:val="00303073"/>
    <w:rsid w:val="00303075"/>
    <w:rsid w:val="00304367"/>
    <w:rsid w:val="00306B14"/>
    <w:rsid w:val="0030758E"/>
    <w:rsid w:val="00310630"/>
    <w:rsid w:val="003208E8"/>
    <w:rsid w:val="00320F25"/>
    <w:rsid w:val="00323A92"/>
    <w:rsid w:val="00323A93"/>
    <w:rsid w:val="00332365"/>
    <w:rsid w:val="003326F1"/>
    <w:rsid w:val="0033495B"/>
    <w:rsid w:val="003352CA"/>
    <w:rsid w:val="00335CE8"/>
    <w:rsid w:val="00335E89"/>
    <w:rsid w:val="003446EE"/>
    <w:rsid w:val="00347541"/>
    <w:rsid w:val="00350A9D"/>
    <w:rsid w:val="003538B7"/>
    <w:rsid w:val="0035535C"/>
    <w:rsid w:val="003557B7"/>
    <w:rsid w:val="003675DA"/>
    <w:rsid w:val="00371BCF"/>
    <w:rsid w:val="00375983"/>
    <w:rsid w:val="00376421"/>
    <w:rsid w:val="0038310D"/>
    <w:rsid w:val="00383ADF"/>
    <w:rsid w:val="003858EA"/>
    <w:rsid w:val="00391253"/>
    <w:rsid w:val="00392383"/>
    <w:rsid w:val="003979FE"/>
    <w:rsid w:val="003A533E"/>
    <w:rsid w:val="003A6094"/>
    <w:rsid w:val="003A60C3"/>
    <w:rsid w:val="003B1E5B"/>
    <w:rsid w:val="003B234D"/>
    <w:rsid w:val="003B3D67"/>
    <w:rsid w:val="003C7528"/>
    <w:rsid w:val="003D1224"/>
    <w:rsid w:val="003E3361"/>
    <w:rsid w:val="003E38A9"/>
    <w:rsid w:val="003E4575"/>
    <w:rsid w:val="003E598A"/>
    <w:rsid w:val="003E6D1A"/>
    <w:rsid w:val="003E73FF"/>
    <w:rsid w:val="003F03C5"/>
    <w:rsid w:val="003F3E99"/>
    <w:rsid w:val="003F6608"/>
    <w:rsid w:val="003F7345"/>
    <w:rsid w:val="0040092A"/>
    <w:rsid w:val="00402FF7"/>
    <w:rsid w:val="00406F5F"/>
    <w:rsid w:val="004122FC"/>
    <w:rsid w:val="00414304"/>
    <w:rsid w:val="0042091C"/>
    <w:rsid w:val="004254FD"/>
    <w:rsid w:val="0042582A"/>
    <w:rsid w:val="004419D1"/>
    <w:rsid w:val="004456F9"/>
    <w:rsid w:val="00445C83"/>
    <w:rsid w:val="00455630"/>
    <w:rsid w:val="004559F2"/>
    <w:rsid w:val="00455C70"/>
    <w:rsid w:val="00456731"/>
    <w:rsid w:val="00464E04"/>
    <w:rsid w:val="00465B4D"/>
    <w:rsid w:val="00474C78"/>
    <w:rsid w:val="004817C0"/>
    <w:rsid w:val="00482740"/>
    <w:rsid w:val="00482909"/>
    <w:rsid w:val="00484489"/>
    <w:rsid w:val="00490302"/>
    <w:rsid w:val="004907D8"/>
    <w:rsid w:val="00492E6D"/>
    <w:rsid w:val="00494172"/>
    <w:rsid w:val="004A1E5B"/>
    <w:rsid w:val="004B5F6F"/>
    <w:rsid w:val="004C13F4"/>
    <w:rsid w:val="004C1BDB"/>
    <w:rsid w:val="004C29B2"/>
    <w:rsid w:val="004C2DE1"/>
    <w:rsid w:val="004C44B1"/>
    <w:rsid w:val="004D2CFF"/>
    <w:rsid w:val="004D441E"/>
    <w:rsid w:val="004D5784"/>
    <w:rsid w:val="004D6060"/>
    <w:rsid w:val="004E0815"/>
    <w:rsid w:val="004E134C"/>
    <w:rsid w:val="004E2BBA"/>
    <w:rsid w:val="004E31F8"/>
    <w:rsid w:val="004E6457"/>
    <w:rsid w:val="004E7639"/>
    <w:rsid w:val="005009DF"/>
    <w:rsid w:val="005050F6"/>
    <w:rsid w:val="005056DA"/>
    <w:rsid w:val="00512525"/>
    <w:rsid w:val="00513262"/>
    <w:rsid w:val="00513EEB"/>
    <w:rsid w:val="00514FCC"/>
    <w:rsid w:val="0051522A"/>
    <w:rsid w:val="00517062"/>
    <w:rsid w:val="00524FC9"/>
    <w:rsid w:val="005268F0"/>
    <w:rsid w:val="005274CF"/>
    <w:rsid w:val="00530BDB"/>
    <w:rsid w:val="00531399"/>
    <w:rsid w:val="0053646F"/>
    <w:rsid w:val="00541BBE"/>
    <w:rsid w:val="00541BC1"/>
    <w:rsid w:val="00541CFB"/>
    <w:rsid w:val="00542105"/>
    <w:rsid w:val="00543B4C"/>
    <w:rsid w:val="005446DB"/>
    <w:rsid w:val="00546285"/>
    <w:rsid w:val="00550129"/>
    <w:rsid w:val="00561AEF"/>
    <w:rsid w:val="005674D0"/>
    <w:rsid w:val="00582039"/>
    <w:rsid w:val="005820E0"/>
    <w:rsid w:val="005821D1"/>
    <w:rsid w:val="00582E4C"/>
    <w:rsid w:val="005868EA"/>
    <w:rsid w:val="00587266"/>
    <w:rsid w:val="0059185B"/>
    <w:rsid w:val="005957D0"/>
    <w:rsid w:val="005A63F3"/>
    <w:rsid w:val="005B1804"/>
    <w:rsid w:val="005B1BEB"/>
    <w:rsid w:val="005B2189"/>
    <w:rsid w:val="005B4F53"/>
    <w:rsid w:val="005B55B7"/>
    <w:rsid w:val="005B79A6"/>
    <w:rsid w:val="005C1455"/>
    <w:rsid w:val="005C717A"/>
    <w:rsid w:val="005D5774"/>
    <w:rsid w:val="005E096F"/>
    <w:rsid w:val="005E0F08"/>
    <w:rsid w:val="005E5713"/>
    <w:rsid w:val="005E6C06"/>
    <w:rsid w:val="005E7059"/>
    <w:rsid w:val="005E748F"/>
    <w:rsid w:val="00600EAD"/>
    <w:rsid w:val="0060291C"/>
    <w:rsid w:val="00605FCB"/>
    <w:rsid w:val="00606F88"/>
    <w:rsid w:val="00607351"/>
    <w:rsid w:val="00615659"/>
    <w:rsid w:val="00625FF6"/>
    <w:rsid w:val="00635117"/>
    <w:rsid w:val="00637AFF"/>
    <w:rsid w:val="006407EB"/>
    <w:rsid w:val="006416F4"/>
    <w:rsid w:val="00645E03"/>
    <w:rsid w:val="006478B2"/>
    <w:rsid w:val="00660C66"/>
    <w:rsid w:val="006611AD"/>
    <w:rsid w:val="00663DA7"/>
    <w:rsid w:val="006643FF"/>
    <w:rsid w:val="00664EEC"/>
    <w:rsid w:val="006662CC"/>
    <w:rsid w:val="00667A51"/>
    <w:rsid w:val="00673CD0"/>
    <w:rsid w:val="00673D18"/>
    <w:rsid w:val="0067508A"/>
    <w:rsid w:val="006765AA"/>
    <w:rsid w:val="0068191A"/>
    <w:rsid w:val="00681C2A"/>
    <w:rsid w:val="00684C96"/>
    <w:rsid w:val="00692FA0"/>
    <w:rsid w:val="00694829"/>
    <w:rsid w:val="0069721D"/>
    <w:rsid w:val="006A1037"/>
    <w:rsid w:val="006A27E4"/>
    <w:rsid w:val="006A2AC8"/>
    <w:rsid w:val="006A65ED"/>
    <w:rsid w:val="006A7803"/>
    <w:rsid w:val="006B585B"/>
    <w:rsid w:val="006C5DEA"/>
    <w:rsid w:val="006C696F"/>
    <w:rsid w:val="006E61AD"/>
    <w:rsid w:val="006E6230"/>
    <w:rsid w:val="006E6DCA"/>
    <w:rsid w:val="006F1C97"/>
    <w:rsid w:val="006F3A57"/>
    <w:rsid w:val="006F438E"/>
    <w:rsid w:val="006F6DEF"/>
    <w:rsid w:val="00701255"/>
    <w:rsid w:val="00713AAE"/>
    <w:rsid w:val="0072394C"/>
    <w:rsid w:val="00726B82"/>
    <w:rsid w:val="00730D90"/>
    <w:rsid w:val="00731067"/>
    <w:rsid w:val="00732BED"/>
    <w:rsid w:val="00736EE1"/>
    <w:rsid w:val="00741A3C"/>
    <w:rsid w:val="00742706"/>
    <w:rsid w:val="00746BF7"/>
    <w:rsid w:val="00747C2A"/>
    <w:rsid w:val="0075250F"/>
    <w:rsid w:val="0076372E"/>
    <w:rsid w:val="00765C65"/>
    <w:rsid w:val="00767DB3"/>
    <w:rsid w:val="007747B0"/>
    <w:rsid w:val="00787768"/>
    <w:rsid w:val="0079080F"/>
    <w:rsid w:val="00792597"/>
    <w:rsid w:val="00797D4D"/>
    <w:rsid w:val="007A1771"/>
    <w:rsid w:val="007A2BDF"/>
    <w:rsid w:val="007B0E83"/>
    <w:rsid w:val="007B2B8F"/>
    <w:rsid w:val="007B3FFF"/>
    <w:rsid w:val="007D34DD"/>
    <w:rsid w:val="007E1D2D"/>
    <w:rsid w:val="007E1F67"/>
    <w:rsid w:val="007E33E4"/>
    <w:rsid w:val="007E45F5"/>
    <w:rsid w:val="007E6BD9"/>
    <w:rsid w:val="007E74E7"/>
    <w:rsid w:val="007E75A5"/>
    <w:rsid w:val="007E7970"/>
    <w:rsid w:val="007E7CAF"/>
    <w:rsid w:val="007F144B"/>
    <w:rsid w:val="008031A9"/>
    <w:rsid w:val="0080365E"/>
    <w:rsid w:val="0080371D"/>
    <w:rsid w:val="00805AE9"/>
    <w:rsid w:val="00813061"/>
    <w:rsid w:val="00815967"/>
    <w:rsid w:val="00815B04"/>
    <w:rsid w:val="00816C7C"/>
    <w:rsid w:val="00820846"/>
    <w:rsid w:val="008212F1"/>
    <w:rsid w:val="00823AC5"/>
    <w:rsid w:val="00825B30"/>
    <w:rsid w:val="00825D0D"/>
    <w:rsid w:val="008369E0"/>
    <w:rsid w:val="00836C5A"/>
    <w:rsid w:val="008418AB"/>
    <w:rsid w:val="00844E9A"/>
    <w:rsid w:val="00846A28"/>
    <w:rsid w:val="008504E8"/>
    <w:rsid w:val="008527A0"/>
    <w:rsid w:val="00853550"/>
    <w:rsid w:val="00857D17"/>
    <w:rsid w:val="00863852"/>
    <w:rsid w:val="00863F05"/>
    <w:rsid w:val="00864ADA"/>
    <w:rsid w:val="00866393"/>
    <w:rsid w:val="00866A3D"/>
    <w:rsid w:val="00866AF6"/>
    <w:rsid w:val="008705C6"/>
    <w:rsid w:val="00871FFB"/>
    <w:rsid w:val="00872811"/>
    <w:rsid w:val="00877D0A"/>
    <w:rsid w:val="00881C94"/>
    <w:rsid w:val="00882E25"/>
    <w:rsid w:val="00885853"/>
    <w:rsid w:val="00885E21"/>
    <w:rsid w:val="008927A6"/>
    <w:rsid w:val="00892F51"/>
    <w:rsid w:val="008A476C"/>
    <w:rsid w:val="008A552F"/>
    <w:rsid w:val="008A6CE2"/>
    <w:rsid w:val="008B216C"/>
    <w:rsid w:val="008B39D1"/>
    <w:rsid w:val="008B520D"/>
    <w:rsid w:val="008C075A"/>
    <w:rsid w:val="008C1BA2"/>
    <w:rsid w:val="008C38DB"/>
    <w:rsid w:val="008C6EC3"/>
    <w:rsid w:val="008D1D98"/>
    <w:rsid w:val="008D2ED6"/>
    <w:rsid w:val="008E5DBF"/>
    <w:rsid w:val="008F393A"/>
    <w:rsid w:val="00901096"/>
    <w:rsid w:val="009013E4"/>
    <w:rsid w:val="00901DE3"/>
    <w:rsid w:val="00902265"/>
    <w:rsid w:val="009028B5"/>
    <w:rsid w:val="009132D2"/>
    <w:rsid w:val="009133A6"/>
    <w:rsid w:val="00913C9F"/>
    <w:rsid w:val="00914AF1"/>
    <w:rsid w:val="009158D0"/>
    <w:rsid w:val="00915DBF"/>
    <w:rsid w:val="00921A19"/>
    <w:rsid w:val="0092590E"/>
    <w:rsid w:val="00931785"/>
    <w:rsid w:val="00936123"/>
    <w:rsid w:val="009367EB"/>
    <w:rsid w:val="00937232"/>
    <w:rsid w:val="00941A01"/>
    <w:rsid w:val="00943244"/>
    <w:rsid w:val="00944130"/>
    <w:rsid w:val="00945259"/>
    <w:rsid w:val="009456AF"/>
    <w:rsid w:val="00946563"/>
    <w:rsid w:val="00946A79"/>
    <w:rsid w:val="00953F2B"/>
    <w:rsid w:val="00956BC8"/>
    <w:rsid w:val="00961493"/>
    <w:rsid w:val="00967FF1"/>
    <w:rsid w:val="0097213A"/>
    <w:rsid w:val="00977458"/>
    <w:rsid w:val="00984A45"/>
    <w:rsid w:val="0099151A"/>
    <w:rsid w:val="00991EF0"/>
    <w:rsid w:val="00993340"/>
    <w:rsid w:val="00993515"/>
    <w:rsid w:val="00993649"/>
    <w:rsid w:val="009A0465"/>
    <w:rsid w:val="009A217B"/>
    <w:rsid w:val="009B0695"/>
    <w:rsid w:val="009B0BDA"/>
    <w:rsid w:val="009B3CDB"/>
    <w:rsid w:val="009C0567"/>
    <w:rsid w:val="009C315E"/>
    <w:rsid w:val="009C3BE5"/>
    <w:rsid w:val="009C6FA6"/>
    <w:rsid w:val="009C7774"/>
    <w:rsid w:val="009D1205"/>
    <w:rsid w:val="009D6F4B"/>
    <w:rsid w:val="009F0810"/>
    <w:rsid w:val="009F4C79"/>
    <w:rsid w:val="009F517C"/>
    <w:rsid w:val="009F5B01"/>
    <w:rsid w:val="009F5B12"/>
    <w:rsid w:val="009F5BA1"/>
    <w:rsid w:val="009F78FB"/>
    <w:rsid w:val="00A000D3"/>
    <w:rsid w:val="00A04E55"/>
    <w:rsid w:val="00A05423"/>
    <w:rsid w:val="00A07593"/>
    <w:rsid w:val="00A14823"/>
    <w:rsid w:val="00A21C7E"/>
    <w:rsid w:val="00A2272D"/>
    <w:rsid w:val="00A33945"/>
    <w:rsid w:val="00A37288"/>
    <w:rsid w:val="00A44AB0"/>
    <w:rsid w:val="00A4667E"/>
    <w:rsid w:val="00A4673E"/>
    <w:rsid w:val="00A47CE0"/>
    <w:rsid w:val="00A50F36"/>
    <w:rsid w:val="00A54915"/>
    <w:rsid w:val="00A57799"/>
    <w:rsid w:val="00A57C41"/>
    <w:rsid w:val="00A60D1F"/>
    <w:rsid w:val="00A64493"/>
    <w:rsid w:val="00A66208"/>
    <w:rsid w:val="00A71C2F"/>
    <w:rsid w:val="00A81A88"/>
    <w:rsid w:val="00A82220"/>
    <w:rsid w:val="00A860FC"/>
    <w:rsid w:val="00A93870"/>
    <w:rsid w:val="00A95561"/>
    <w:rsid w:val="00A96CD9"/>
    <w:rsid w:val="00AA0ADF"/>
    <w:rsid w:val="00AA352D"/>
    <w:rsid w:val="00AA5A0D"/>
    <w:rsid w:val="00AB0D2B"/>
    <w:rsid w:val="00AB165B"/>
    <w:rsid w:val="00AB3A89"/>
    <w:rsid w:val="00AC0F9A"/>
    <w:rsid w:val="00AC2563"/>
    <w:rsid w:val="00AC3D47"/>
    <w:rsid w:val="00AD02EE"/>
    <w:rsid w:val="00AD1878"/>
    <w:rsid w:val="00AD620D"/>
    <w:rsid w:val="00AE2A43"/>
    <w:rsid w:val="00AE5389"/>
    <w:rsid w:val="00AE6760"/>
    <w:rsid w:val="00AF29B9"/>
    <w:rsid w:val="00AF7503"/>
    <w:rsid w:val="00AF7947"/>
    <w:rsid w:val="00B01A4F"/>
    <w:rsid w:val="00B02390"/>
    <w:rsid w:val="00B03BBB"/>
    <w:rsid w:val="00B043FB"/>
    <w:rsid w:val="00B11A9D"/>
    <w:rsid w:val="00B163FA"/>
    <w:rsid w:val="00B2374F"/>
    <w:rsid w:val="00B248E6"/>
    <w:rsid w:val="00B26CE4"/>
    <w:rsid w:val="00B27315"/>
    <w:rsid w:val="00B3588D"/>
    <w:rsid w:val="00B46240"/>
    <w:rsid w:val="00B52DDA"/>
    <w:rsid w:val="00B57A3F"/>
    <w:rsid w:val="00B61D9B"/>
    <w:rsid w:val="00B655D7"/>
    <w:rsid w:val="00B66BC2"/>
    <w:rsid w:val="00B675A9"/>
    <w:rsid w:val="00B71873"/>
    <w:rsid w:val="00B724F9"/>
    <w:rsid w:val="00B7384C"/>
    <w:rsid w:val="00B8400C"/>
    <w:rsid w:val="00B90CC9"/>
    <w:rsid w:val="00B96C05"/>
    <w:rsid w:val="00B9703B"/>
    <w:rsid w:val="00BA1794"/>
    <w:rsid w:val="00BA2680"/>
    <w:rsid w:val="00BA3128"/>
    <w:rsid w:val="00BA5209"/>
    <w:rsid w:val="00BA59D7"/>
    <w:rsid w:val="00BB0D96"/>
    <w:rsid w:val="00BB0E07"/>
    <w:rsid w:val="00BB2E53"/>
    <w:rsid w:val="00BB5AAD"/>
    <w:rsid w:val="00BB69EA"/>
    <w:rsid w:val="00BC0386"/>
    <w:rsid w:val="00BC1D2A"/>
    <w:rsid w:val="00BC4B39"/>
    <w:rsid w:val="00BD2C68"/>
    <w:rsid w:val="00BD3195"/>
    <w:rsid w:val="00BD597C"/>
    <w:rsid w:val="00BD7BC6"/>
    <w:rsid w:val="00BE2194"/>
    <w:rsid w:val="00BE4A5D"/>
    <w:rsid w:val="00BE5643"/>
    <w:rsid w:val="00BE5A05"/>
    <w:rsid w:val="00BE78C7"/>
    <w:rsid w:val="00BF004B"/>
    <w:rsid w:val="00BF43A9"/>
    <w:rsid w:val="00BF43FE"/>
    <w:rsid w:val="00BF7010"/>
    <w:rsid w:val="00C01491"/>
    <w:rsid w:val="00C01EC1"/>
    <w:rsid w:val="00C0625E"/>
    <w:rsid w:val="00C0627F"/>
    <w:rsid w:val="00C068DD"/>
    <w:rsid w:val="00C1261D"/>
    <w:rsid w:val="00C162C1"/>
    <w:rsid w:val="00C213C2"/>
    <w:rsid w:val="00C303B2"/>
    <w:rsid w:val="00C35F6E"/>
    <w:rsid w:val="00C36C78"/>
    <w:rsid w:val="00C46D8E"/>
    <w:rsid w:val="00C47521"/>
    <w:rsid w:val="00C511FA"/>
    <w:rsid w:val="00C544C6"/>
    <w:rsid w:val="00C55975"/>
    <w:rsid w:val="00C55B79"/>
    <w:rsid w:val="00C66D60"/>
    <w:rsid w:val="00C7152A"/>
    <w:rsid w:val="00C727C1"/>
    <w:rsid w:val="00C80131"/>
    <w:rsid w:val="00C81171"/>
    <w:rsid w:val="00C86E8E"/>
    <w:rsid w:val="00C86FAC"/>
    <w:rsid w:val="00C906FE"/>
    <w:rsid w:val="00CA69D5"/>
    <w:rsid w:val="00CC3CBB"/>
    <w:rsid w:val="00CC3E54"/>
    <w:rsid w:val="00CC5A88"/>
    <w:rsid w:val="00CD4654"/>
    <w:rsid w:val="00CE448D"/>
    <w:rsid w:val="00CE5CD0"/>
    <w:rsid w:val="00CE6D1A"/>
    <w:rsid w:val="00CE7EB4"/>
    <w:rsid w:val="00CF4715"/>
    <w:rsid w:val="00CF4785"/>
    <w:rsid w:val="00CF6D27"/>
    <w:rsid w:val="00CF6F5D"/>
    <w:rsid w:val="00D01A15"/>
    <w:rsid w:val="00D035EB"/>
    <w:rsid w:val="00D03DA6"/>
    <w:rsid w:val="00D04132"/>
    <w:rsid w:val="00D04258"/>
    <w:rsid w:val="00D071C6"/>
    <w:rsid w:val="00D127C3"/>
    <w:rsid w:val="00D22AD4"/>
    <w:rsid w:val="00D23AC3"/>
    <w:rsid w:val="00D24063"/>
    <w:rsid w:val="00D31502"/>
    <w:rsid w:val="00D36B2F"/>
    <w:rsid w:val="00D37158"/>
    <w:rsid w:val="00D3792F"/>
    <w:rsid w:val="00D449B6"/>
    <w:rsid w:val="00D550B2"/>
    <w:rsid w:val="00D57766"/>
    <w:rsid w:val="00D6092C"/>
    <w:rsid w:val="00D60AC7"/>
    <w:rsid w:val="00D60B94"/>
    <w:rsid w:val="00D616D7"/>
    <w:rsid w:val="00D671F3"/>
    <w:rsid w:val="00D71390"/>
    <w:rsid w:val="00D75905"/>
    <w:rsid w:val="00D81E5C"/>
    <w:rsid w:val="00D825AA"/>
    <w:rsid w:val="00D85F99"/>
    <w:rsid w:val="00D92D31"/>
    <w:rsid w:val="00D9673C"/>
    <w:rsid w:val="00D9756F"/>
    <w:rsid w:val="00DA2C1F"/>
    <w:rsid w:val="00DA4E0D"/>
    <w:rsid w:val="00DA4E2E"/>
    <w:rsid w:val="00DB2B0B"/>
    <w:rsid w:val="00DB7E19"/>
    <w:rsid w:val="00DC2A5D"/>
    <w:rsid w:val="00DD4308"/>
    <w:rsid w:val="00DD58D5"/>
    <w:rsid w:val="00DD6F6F"/>
    <w:rsid w:val="00DE1D18"/>
    <w:rsid w:val="00DE3CAF"/>
    <w:rsid w:val="00DE47D0"/>
    <w:rsid w:val="00DF0966"/>
    <w:rsid w:val="00E04896"/>
    <w:rsid w:val="00E11116"/>
    <w:rsid w:val="00E126D5"/>
    <w:rsid w:val="00E147A0"/>
    <w:rsid w:val="00E15B29"/>
    <w:rsid w:val="00E248C2"/>
    <w:rsid w:val="00E267A0"/>
    <w:rsid w:val="00E36E28"/>
    <w:rsid w:val="00E37698"/>
    <w:rsid w:val="00E50EDD"/>
    <w:rsid w:val="00E51E6A"/>
    <w:rsid w:val="00E544B1"/>
    <w:rsid w:val="00E554D5"/>
    <w:rsid w:val="00E63B67"/>
    <w:rsid w:val="00E65306"/>
    <w:rsid w:val="00E65E84"/>
    <w:rsid w:val="00E70A3B"/>
    <w:rsid w:val="00E72251"/>
    <w:rsid w:val="00E73479"/>
    <w:rsid w:val="00E75697"/>
    <w:rsid w:val="00E80A10"/>
    <w:rsid w:val="00E82093"/>
    <w:rsid w:val="00E87106"/>
    <w:rsid w:val="00E87958"/>
    <w:rsid w:val="00E90030"/>
    <w:rsid w:val="00E930A8"/>
    <w:rsid w:val="00E93477"/>
    <w:rsid w:val="00EA3102"/>
    <w:rsid w:val="00EA395B"/>
    <w:rsid w:val="00EA453B"/>
    <w:rsid w:val="00EA5E0B"/>
    <w:rsid w:val="00EA6649"/>
    <w:rsid w:val="00EB4F8C"/>
    <w:rsid w:val="00EB5981"/>
    <w:rsid w:val="00EC03A0"/>
    <w:rsid w:val="00EC1642"/>
    <w:rsid w:val="00EC3BB7"/>
    <w:rsid w:val="00EC46BF"/>
    <w:rsid w:val="00EC68A8"/>
    <w:rsid w:val="00ED766F"/>
    <w:rsid w:val="00EE48C0"/>
    <w:rsid w:val="00EE55D2"/>
    <w:rsid w:val="00EE7870"/>
    <w:rsid w:val="00EE7ACB"/>
    <w:rsid w:val="00EF28C3"/>
    <w:rsid w:val="00EF3258"/>
    <w:rsid w:val="00EF4B84"/>
    <w:rsid w:val="00EF520A"/>
    <w:rsid w:val="00EF5C74"/>
    <w:rsid w:val="00EF69D8"/>
    <w:rsid w:val="00EF7017"/>
    <w:rsid w:val="00EF7019"/>
    <w:rsid w:val="00EF75FF"/>
    <w:rsid w:val="00F0019E"/>
    <w:rsid w:val="00F01F63"/>
    <w:rsid w:val="00F03593"/>
    <w:rsid w:val="00F041AE"/>
    <w:rsid w:val="00F146B8"/>
    <w:rsid w:val="00F33663"/>
    <w:rsid w:val="00F407C1"/>
    <w:rsid w:val="00F437FC"/>
    <w:rsid w:val="00F53EE0"/>
    <w:rsid w:val="00F56236"/>
    <w:rsid w:val="00F56D13"/>
    <w:rsid w:val="00F6227A"/>
    <w:rsid w:val="00F712F4"/>
    <w:rsid w:val="00F74862"/>
    <w:rsid w:val="00F75617"/>
    <w:rsid w:val="00F75F51"/>
    <w:rsid w:val="00F81C8C"/>
    <w:rsid w:val="00F82676"/>
    <w:rsid w:val="00F857BA"/>
    <w:rsid w:val="00F867DB"/>
    <w:rsid w:val="00F86BE4"/>
    <w:rsid w:val="00F9158C"/>
    <w:rsid w:val="00F94B07"/>
    <w:rsid w:val="00FA564E"/>
    <w:rsid w:val="00FB141E"/>
    <w:rsid w:val="00FB2524"/>
    <w:rsid w:val="00FC1AD8"/>
    <w:rsid w:val="00FC28B2"/>
    <w:rsid w:val="00FD053E"/>
    <w:rsid w:val="00FE4208"/>
    <w:rsid w:val="00FE4C05"/>
    <w:rsid w:val="00FE79CA"/>
    <w:rsid w:val="00FF2C84"/>
    <w:rsid w:val="00FF33BC"/>
    <w:rsid w:val="00FF435F"/>
    <w:rsid w:val="00F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DD"/>
    <w:rPr>
      <w:rFonts w:ascii="Arial" w:eastAsiaTheme="minorEastAsia" w:hAnsi="Arial"/>
    </w:rPr>
  </w:style>
  <w:style w:type="paragraph" w:styleId="Heading1">
    <w:name w:val="heading 1"/>
    <w:basedOn w:val="Normal"/>
    <w:next w:val="Normal"/>
    <w:link w:val="Heading1Char"/>
    <w:uiPriority w:val="9"/>
    <w:qFormat/>
    <w:rsid w:val="005E7059"/>
    <w:pPr>
      <w:keepNext/>
      <w:keepLines/>
      <w:spacing w:after="0"/>
      <w:jc w:val="center"/>
      <w:outlineLvl w:val="0"/>
    </w:pPr>
    <w:rPr>
      <w:rFonts w:eastAsiaTheme="majorEastAsia" w:cstheme="majorBidi"/>
      <w:b/>
      <w:bCs/>
      <w:color w:val="1F497D" w:themeColor="text2"/>
      <w:sz w:val="44"/>
      <w:szCs w:val="28"/>
    </w:rPr>
  </w:style>
  <w:style w:type="paragraph" w:styleId="Heading2">
    <w:name w:val="heading 2"/>
    <w:basedOn w:val="Normal"/>
    <w:next w:val="Normal"/>
    <w:link w:val="Heading2Char"/>
    <w:uiPriority w:val="9"/>
    <w:unhideWhenUsed/>
    <w:qFormat/>
    <w:rsid w:val="00392383"/>
    <w:pPr>
      <w:keepNext/>
      <w:keepLines/>
      <w:spacing w:before="200" w:after="0"/>
      <w:jc w:val="center"/>
      <w:outlineLvl w:val="1"/>
    </w:pPr>
    <w:rPr>
      <w:rFonts w:eastAsiaTheme="majorEastAsia" w:cstheme="majorBidi"/>
      <w:b/>
      <w:bCs/>
      <w:color w:val="000000" w:themeColor="text1"/>
      <w:sz w:val="36"/>
      <w:szCs w:val="26"/>
    </w:rPr>
  </w:style>
  <w:style w:type="paragraph" w:styleId="Heading3">
    <w:name w:val="heading 3"/>
    <w:basedOn w:val="Normal"/>
    <w:link w:val="Heading3Char"/>
    <w:uiPriority w:val="9"/>
    <w:qFormat/>
    <w:rsid w:val="00023406"/>
    <w:pPr>
      <w:spacing w:before="100" w:beforeAutospacing="1" w:after="120" w:line="240" w:lineRule="auto"/>
      <w:outlineLvl w:val="2"/>
    </w:pPr>
    <w:rPr>
      <w:rFonts w:eastAsia="Times New Roman" w:cs="Times New Roman"/>
      <w:b/>
      <w:bCs/>
      <w:color w:val="1F497D" w:themeColor="text2"/>
      <w:sz w:val="27"/>
      <w:szCs w:val="27"/>
    </w:rPr>
  </w:style>
  <w:style w:type="paragraph" w:styleId="Heading4">
    <w:name w:val="heading 4"/>
    <w:basedOn w:val="Normal"/>
    <w:next w:val="Normal"/>
    <w:link w:val="Heading4Char"/>
    <w:uiPriority w:val="9"/>
    <w:unhideWhenUsed/>
    <w:qFormat/>
    <w:rsid w:val="00147802"/>
    <w:pPr>
      <w:keepNext/>
      <w:keepLines/>
      <w:spacing w:before="200" w:after="0"/>
      <w:jc w:val="center"/>
      <w:outlineLvl w:val="3"/>
    </w:pPr>
    <w:rPr>
      <w:rFonts w:eastAsiaTheme="majorEastAsia" w:cstheme="majorBidi"/>
      <w:b/>
      <w:bCs/>
      <w:iCs/>
      <w:color w:val="000000" w:themeColor="text1"/>
      <w:sz w:val="28"/>
    </w:rPr>
  </w:style>
  <w:style w:type="paragraph" w:styleId="Heading6">
    <w:name w:val="heading 6"/>
    <w:basedOn w:val="Normal"/>
    <w:next w:val="Normal"/>
    <w:link w:val="Heading6Char"/>
    <w:uiPriority w:val="9"/>
    <w:semiHidden/>
    <w:unhideWhenUsed/>
    <w:qFormat/>
    <w:rsid w:val="001217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059"/>
    <w:rPr>
      <w:rFonts w:ascii="Arial" w:eastAsiaTheme="majorEastAsia" w:hAnsi="Arial" w:cstheme="majorBidi"/>
      <w:b/>
      <w:bCs/>
      <w:color w:val="1F497D" w:themeColor="text2"/>
      <w:sz w:val="44"/>
      <w:szCs w:val="28"/>
    </w:rPr>
  </w:style>
  <w:style w:type="character" w:customStyle="1" w:styleId="Heading2Char">
    <w:name w:val="Heading 2 Char"/>
    <w:basedOn w:val="DefaultParagraphFont"/>
    <w:link w:val="Heading2"/>
    <w:uiPriority w:val="9"/>
    <w:rsid w:val="00392383"/>
    <w:rPr>
      <w:rFonts w:ascii="Arial" w:eastAsiaTheme="majorEastAsia" w:hAnsi="Arial" w:cstheme="majorBidi"/>
      <w:b/>
      <w:bCs/>
      <w:color w:val="000000" w:themeColor="text1"/>
      <w:sz w:val="36"/>
      <w:szCs w:val="26"/>
    </w:rPr>
  </w:style>
  <w:style w:type="character" w:customStyle="1" w:styleId="Heading3Char">
    <w:name w:val="Heading 3 Char"/>
    <w:basedOn w:val="DefaultParagraphFont"/>
    <w:link w:val="Heading3"/>
    <w:uiPriority w:val="9"/>
    <w:rsid w:val="00023406"/>
    <w:rPr>
      <w:rFonts w:ascii="Arial" w:eastAsia="Times New Roman" w:hAnsi="Arial" w:cs="Times New Roman"/>
      <w:b/>
      <w:bCs/>
      <w:color w:val="1F497D" w:themeColor="text2"/>
      <w:sz w:val="27"/>
      <w:szCs w:val="27"/>
    </w:rPr>
  </w:style>
  <w:style w:type="character" w:customStyle="1" w:styleId="Heading4Char">
    <w:name w:val="Heading 4 Char"/>
    <w:basedOn w:val="DefaultParagraphFont"/>
    <w:link w:val="Heading4"/>
    <w:uiPriority w:val="9"/>
    <w:rsid w:val="00147802"/>
    <w:rPr>
      <w:rFonts w:ascii="Arial" w:eastAsiaTheme="majorEastAsia" w:hAnsi="Arial" w:cstheme="majorBidi"/>
      <w:b/>
      <w:bCs/>
      <w:iCs/>
      <w:color w:val="000000" w:themeColor="text1"/>
      <w:sz w:val="28"/>
    </w:rPr>
  </w:style>
  <w:style w:type="character" w:customStyle="1" w:styleId="Heading6Char">
    <w:name w:val="Heading 6 Char"/>
    <w:basedOn w:val="DefaultParagraphFont"/>
    <w:link w:val="Heading6"/>
    <w:uiPriority w:val="9"/>
    <w:semiHidden/>
    <w:rsid w:val="0012175C"/>
    <w:rPr>
      <w:rFonts w:asciiTheme="majorHAnsi" w:eastAsiaTheme="majorEastAsia" w:hAnsiTheme="majorHAnsi" w:cstheme="majorBidi"/>
      <w:i/>
      <w:iCs/>
      <w:color w:val="243F60" w:themeColor="accent1" w:themeShade="7F"/>
    </w:rPr>
  </w:style>
  <w:style w:type="paragraph" w:styleId="NormalWeb">
    <w:name w:val="Normal (Web)"/>
    <w:basedOn w:val="Normal"/>
    <w:link w:val="NormalWebChar"/>
    <w:uiPriority w:val="99"/>
    <w:unhideWhenUsed/>
    <w:rsid w:val="00A04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04E55"/>
    <w:rPr>
      <w:rFonts w:ascii="Times New Roman" w:eastAsia="Times New Roman" w:hAnsi="Times New Roman" w:cs="Times New Roman"/>
      <w:sz w:val="24"/>
      <w:szCs w:val="24"/>
    </w:rPr>
  </w:style>
  <w:style w:type="table" w:styleId="TableGrid">
    <w:name w:val="Table Grid"/>
    <w:basedOn w:val="TableNormal"/>
    <w:uiPriority w:val="59"/>
    <w:rsid w:val="00A04E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A04E55"/>
    <w:pPr>
      <w:spacing w:after="0" w:line="240" w:lineRule="auto"/>
    </w:pPr>
    <w:rPr>
      <w:sz w:val="20"/>
      <w:szCs w:val="20"/>
    </w:rPr>
  </w:style>
  <w:style w:type="character" w:customStyle="1" w:styleId="FootnoteTextChar">
    <w:name w:val="Footnote Text Char"/>
    <w:basedOn w:val="DefaultParagraphFont"/>
    <w:link w:val="FootnoteText"/>
    <w:uiPriority w:val="99"/>
    <w:rsid w:val="00A04E55"/>
    <w:rPr>
      <w:rFonts w:eastAsiaTheme="minorEastAsia"/>
      <w:sz w:val="20"/>
      <w:szCs w:val="20"/>
    </w:rPr>
  </w:style>
  <w:style w:type="character" w:styleId="FootnoteReference">
    <w:name w:val="footnote reference"/>
    <w:basedOn w:val="DefaultParagraphFont"/>
    <w:uiPriority w:val="99"/>
    <w:semiHidden/>
    <w:unhideWhenUsed/>
    <w:rsid w:val="00A04E55"/>
    <w:rPr>
      <w:vertAlign w:val="superscript"/>
    </w:rPr>
  </w:style>
  <w:style w:type="character" w:styleId="Hyperlink">
    <w:name w:val="Hyperlink"/>
    <w:basedOn w:val="DefaultParagraphFont"/>
    <w:uiPriority w:val="99"/>
    <w:unhideWhenUsed/>
    <w:rsid w:val="00A04E55"/>
    <w:rPr>
      <w:color w:val="0000FF" w:themeColor="hyperlink"/>
      <w:u w:val="single"/>
    </w:rPr>
  </w:style>
  <w:style w:type="paragraph" w:styleId="ListParagraph">
    <w:name w:val="List Paragraph"/>
    <w:basedOn w:val="Normal"/>
    <w:uiPriority w:val="34"/>
    <w:qFormat/>
    <w:rsid w:val="002F02E9"/>
    <w:pPr>
      <w:numPr>
        <w:numId w:val="1"/>
      </w:numPr>
      <w:spacing w:after="240"/>
      <w:contextualSpacing/>
      <w:outlineLvl w:val="2"/>
    </w:pPr>
    <w:rPr>
      <w:rFonts w:cstheme="minorHAnsi"/>
      <w:color w:val="000000" w:themeColor="text1"/>
      <w:szCs w:val="24"/>
    </w:rPr>
  </w:style>
  <w:style w:type="paragraph" w:customStyle="1" w:styleId="ReportBodyText">
    <w:name w:val="Report Body Text"/>
    <w:basedOn w:val="BodyText"/>
    <w:qFormat/>
    <w:rsid w:val="00A04E55"/>
    <w:pPr>
      <w:spacing w:after="240" w:line="240" w:lineRule="auto"/>
      <w:jc w:val="both"/>
    </w:pPr>
    <w:rPr>
      <w:rFonts w:eastAsia="Times New Roman" w:cstheme="minorHAnsi"/>
      <w:sz w:val="23"/>
      <w:szCs w:val="23"/>
    </w:rPr>
  </w:style>
  <w:style w:type="paragraph" w:styleId="BodyText">
    <w:name w:val="Body Text"/>
    <w:basedOn w:val="Normal"/>
    <w:link w:val="BodyTextChar"/>
    <w:uiPriority w:val="99"/>
    <w:semiHidden/>
    <w:unhideWhenUsed/>
    <w:rsid w:val="00A04E55"/>
    <w:pPr>
      <w:spacing w:after="120"/>
    </w:pPr>
  </w:style>
  <w:style w:type="character" w:customStyle="1" w:styleId="BodyTextChar">
    <w:name w:val="Body Text Char"/>
    <w:basedOn w:val="DefaultParagraphFont"/>
    <w:link w:val="BodyText"/>
    <w:uiPriority w:val="99"/>
    <w:semiHidden/>
    <w:rsid w:val="00A04E55"/>
    <w:rPr>
      <w:rFonts w:eastAsiaTheme="minorEastAsia"/>
    </w:rPr>
  </w:style>
  <w:style w:type="paragraph" w:customStyle="1" w:styleId="ReportList">
    <w:name w:val="Report List"/>
    <w:basedOn w:val="List"/>
    <w:qFormat/>
    <w:rsid w:val="00A04E55"/>
    <w:pPr>
      <w:numPr>
        <w:numId w:val="2"/>
      </w:numPr>
      <w:spacing w:after="80"/>
      <w:jc w:val="both"/>
    </w:pPr>
    <w:rPr>
      <w:rFonts w:cstheme="minorHAnsi"/>
      <w:sz w:val="23"/>
      <w:szCs w:val="23"/>
    </w:rPr>
  </w:style>
  <w:style w:type="paragraph" w:styleId="List">
    <w:name w:val="List"/>
    <w:basedOn w:val="Normal"/>
    <w:uiPriority w:val="99"/>
    <w:semiHidden/>
    <w:unhideWhenUsed/>
    <w:rsid w:val="00A04E55"/>
    <w:pPr>
      <w:ind w:left="360" w:hanging="360"/>
      <w:contextualSpacing/>
    </w:pPr>
  </w:style>
  <w:style w:type="paragraph" w:customStyle="1" w:styleId="ReportTableHead">
    <w:name w:val="Report Table Head"/>
    <w:basedOn w:val="Normal"/>
    <w:qFormat/>
    <w:rsid w:val="00A04E55"/>
    <w:pPr>
      <w:keepNext/>
      <w:keepLines/>
      <w:widowControl w:val="0"/>
      <w:autoSpaceDE w:val="0"/>
      <w:autoSpaceDN w:val="0"/>
      <w:adjustRightInd w:val="0"/>
      <w:spacing w:after="0" w:line="240" w:lineRule="auto"/>
      <w:jc w:val="center"/>
    </w:pPr>
    <w:rPr>
      <w:rFonts w:eastAsia="Times New Roman" w:cstheme="minorHAnsi"/>
      <w:b/>
      <w:color w:val="FFFFFF" w:themeColor="background1"/>
      <w:sz w:val="24"/>
      <w:szCs w:val="8"/>
    </w:rPr>
  </w:style>
  <w:style w:type="paragraph" w:customStyle="1" w:styleId="ReportTableData">
    <w:name w:val="Report Table Data"/>
    <w:basedOn w:val="Normal"/>
    <w:qFormat/>
    <w:rsid w:val="00A04E55"/>
    <w:pPr>
      <w:keepNext/>
      <w:keepLines/>
      <w:spacing w:after="0" w:line="240" w:lineRule="auto"/>
      <w:jc w:val="center"/>
    </w:pPr>
    <w:rPr>
      <w:rFonts w:eastAsia="Calibri" w:cstheme="minorHAnsi"/>
      <w:sz w:val="23"/>
      <w:szCs w:val="23"/>
    </w:rPr>
  </w:style>
  <w:style w:type="paragraph" w:customStyle="1" w:styleId="Default">
    <w:name w:val="Default"/>
    <w:rsid w:val="00A04E55"/>
    <w:pPr>
      <w:autoSpaceDE w:val="0"/>
      <w:autoSpaceDN w:val="0"/>
      <w:adjustRightInd w:val="0"/>
      <w:spacing w:after="0" w:line="240" w:lineRule="auto"/>
    </w:pPr>
    <w:rPr>
      <w:rFonts w:ascii="Bell MT" w:hAnsi="Bell MT" w:cs="Bell MT"/>
      <w:color w:val="000000"/>
      <w:sz w:val="24"/>
      <w:szCs w:val="24"/>
    </w:rPr>
  </w:style>
  <w:style w:type="character" w:customStyle="1" w:styleId="A4">
    <w:name w:val="A4"/>
    <w:uiPriority w:val="99"/>
    <w:rsid w:val="00A04E55"/>
    <w:rPr>
      <w:rFonts w:cs="Bell MT"/>
      <w:b/>
      <w:bCs/>
      <w:color w:val="000000"/>
      <w:sz w:val="28"/>
      <w:szCs w:val="28"/>
    </w:rPr>
  </w:style>
  <w:style w:type="character" w:customStyle="1" w:styleId="A2">
    <w:name w:val="A2"/>
    <w:uiPriority w:val="99"/>
    <w:rsid w:val="00A04E55"/>
    <w:rPr>
      <w:rFonts w:cs="Bell MT"/>
      <w:color w:val="000000"/>
      <w:sz w:val="26"/>
      <w:szCs w:val="26"/>
    </w:rPr>
  </w:style>
  <w:style w:type="paragraph" w:styleId="Header">
    <w:name w:val="header"/>
    <w:basedOn w:val="Normal"/>
    <w:link w:val="HeaderChar"/>
    <w:uiPriority w:val="99"/>
    <w:semiHidden/>
    <w:unhideWhenUsed/>
    <w:rsid w:val="00F857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7BA"/>
    <w:rPr>
      <w:rFonts w:eastAsiaTheme="minorEastAsia"/>
    </w:rPr>
  </w:style>
  <w:style w:type="paragraph" w:styleId="Footer">
    <w:name w:val="footer"/>
    <w:basedOn w:val="Normal"/>
    <w:link w:val="FooterChar"/>
    <w:uiPriority w:val="99"/>
    <w:unhideWhenUsed/>
    <w:rsid w:val="00F85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BA"/>
    <w:rPr>
      <w:rFonts w:eastAsiaTheme="minorEastAsia"/>
    </w:rPr>
  </w:style>
  <w:style w:type="paragraph" w:styleId="BalloonText">
    <w:name w:val="Balloon Text"/>
    <w:basedOn w:val="Normal"/>
    <w:link w:val="BalloonTextChar"/>
    <w:uiPriority w:val="99"/>
    <w:semiHidden/>
    <w:unhideWhenUsed/>
    <w:rsid w:val="00F8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BA"/>
    <w:rPr>
      <w:rFonts w:ascii="Tahoma" w:eastAsiaTheme="minorEastAsia" w:hAnsi="Tahoma" w:cs="Tahoma"/>
      <w:sz w:val="16"/>
      <w:szCs w:val="16"/>
    </w:rPr>
  </w:style>
  <w:style w:type="character" w:customStyle="1" w:styleId="A3">
    <w:name w:val="A3"/>
    <w:uiPriority w:val="99"/>
    <w:rsid w:val="005A63F3"/>
    <w:rPr>
      <w:color w:val="000000"/>
      <w:sz w:val="20"/>
      <w:szCs w:val="20"/>
    </w:rPr>
  </w:style>
  <w:style w:type="character" w:styleId="Emphasis">
    <w:name w:val="Emphasis"/>
    <w:basedOn w:val="DefaultParagraphFont"/>
    <w:uiPriority w:val="20"/>
    <w:qFormat/>
    <w:rsid w:val="00EC68A8"/>
    <w:rPr>
      <w:rFonts w:ascii="Lato" w:hAnsi="Lato" w:hint="default"/>
      <w:i/>
      <w:iCs/>
    </w:rPr>
  </w:style>
  <w:style w:type="character" w:customStyle="1" w:styleId="select-label1">
    <w:name w:val="select-label1"/>
    <w:basedOn w:val="DefaultParagraphFont"/>
    <w:rsid w:val="00EC68A8"/>
    <w:rPr>
      <w:b/>
      <w:bCs/>
      <w:sz w:val="18"/>
      <w:szCs w:val="18"/>
    </w:rPr>
  </w:style>
  <w:style w:type="character" w:customStyle="1" w:styleId="sharebuttonen4">
    <w:name w:val="sharebuttonen4"/>
    <w:basedOn w:val="DefaultParagraphFont"/>
    <w:rsid w:val="00EC68A8"/>
    <w:rPr>
      <w:b/>
      <w:bCs/>
      <w:vanish w:val="0"/>
      <w:webHidden w:val="0"/>
      <w:color w:val="333333"/>
      <w:sz w:val="21"/>
      <w:szCs w:val="21"/>
      <w:specVanish w:val="0"/>
    </w:rPr>
  </w:style>
  <w:style w:type="character" w:customStyle="1" w:styleId="sharebuttones4">
    <w:name w:val="sharebuttones4"/>
    <w:basedOn w:val="DefaultParagraphFont"/>
    <w:rsid w:val="00EC68A8"/>
    <w:rPr>
      <w:b/>
      <w:bCs/>
      <w:vanish/>
      <w:webHidden w:val="0"/>
      <w:color w:val="333333"/>
      <w:sz w:val="21"/>
      <w:szCs w:val="21"/>
      <w:specVanish w:val="0"/>
    </w:rPr>
  </w:style>
  <w:style w:type="character" w:styleId="Strong">
    <w:name w:val="Strong"/>
    <w:basedOn w:val="DefaultParagraphFont"/>
    <w:qFormat/>
    <w:rsid w:val="00147802"/>
    <w:rPr>
      <w:rFonts w:ascii="Arial" w:hAnsi="Arial"/>
      <w:b/>
      <w:bCs/>
      <w:i w:val="0"/>
      <w:sz w:val="22"/>
    </w:rPr>
  </w:style>
  <w:style w:type="character" w:customStyle="1" w:styleId="style21">
    <w:name w:val="style21"/>
    <w:basedOn w:val="DefaultParagraphFont"/>
    <w:rsid w:val="00941A01"/>
    <w:rPr>
      <w:color w:val="016893"/>
    </w:rPr>
  </w:style>
  <w:style w:type="character" w:customStyle="1" w:styleId="A1">
    <w:name w:val="A1"/>
    <w:uiPriority w:val="99"/>
    <w:rsid w:val="0079080F"/>
    <w:rPr>
      <w:rFonts w:cs="Myriad Pro"/>
      <w:color w:val="000000"/>
      <w:sz w:val="20"/>
      <w:szCs w:val="20"/>
    </w:rPr>
  </w:style>
  <w:style w:type="character" w:customStyle="1" w:styleId="A10">
    <w:name w:val="A10"/>
    <w:uiPriority w:val="99"/>
    <w:rsid w:val="00530BDB"/>
    <w:rPr>
      <w:rFonts w:ascii="ITC Garamond Std" w:hAnsi="ITC Garamond Std" w:cs="ITC Garamond Std"/>
      <w:color w:val="000000"/>
      <w:sz w:val="12"/>
      <w:szCs w:val="12"/>
    </w:rPr>
  </w:style>
  <w:style w:type="character" w:customStyle="1" w:styleId="emphasis1">
    <w:name w:val="emphasis1"/>
    <w:basedOn w:val="DefaultParagraphFont"/>
    <w:rsid w:val="00EB5981"/>
    <w:rPr>
      <w:b/>
      <w:bCs/>
      <w:color w:val="213856"/>
      <w:sz w:val="26"/>
      <w:szCs w:val="26"/>
    </w:rPr>
  </w:style>
  <w:style w:type="character" w:styleId="FollowedHyperlink">
    <w:name w:val="FollowedHyperlink"/>
    <w:basedOn w:val="DefaultParagraphFont"/>
    <w:uiPriority w:val="99"/>
    <w:semiHidden/>
    <w:unhideWhenUsed/>
    <w:rsid w:val="004907D8"/>
    <w:rPr>
      <w:color w:val="800080" w:themeColor="followedHyperlink"/>
      <w:u w:val="single"/>
    </w:rPr>
  </w:style>
  <w:style w:type="character" w:customStyle="1" w:styleId="tp-label">
    <w:name w:val="tp-label"/>
    <w:basedOn w:val="DefaultParagraphFont"/>
    <w:rsid w:val="004907D8"/>
  </w:style>
  <w:style w:type="character" w:customStyle="1" w:styleId="A7">
    <w:name w:val="A7"/>
    <w:uiPriority w:val="99"/>
    <w:rsid w:val="004E134C"/>
    <w:rPr>
      <w:rFonts w:cs="AvantGarde Medium"/>
      <w:color w:val="000000"/>
      <w:sz w:val="30"/>
      <w:szCs w:val="30"/>
    </w:rPr>
  </w:style>
  <w:style w:type="character" w:customStyle="1" w:styleId="fn">
    <w:name w:val="fn"/>
    <w:basedOn w:val="DefaultParagraphFont"/>
    <w:rsid w:val="00DE3CAF"/>
  </w:style>
  <w:style w:type="character" w:customStyle="1" w:styleId="legend-color">
    <w:name w:val="legend-color"/>
    <w:basedOn w:val="DefaultParagraphFont"/>
    <w:rsid w:val="00D57766"/>
  </w:style>
  <w:style w:type="character" w:customStyle="1" w:styleId="A6">
    <w:name w:val="A6"/>
    <w:uiPriority w:val="99"/>
    <w:rsid w:val="00335CE8"/>
    <w:rPr>
      <w:rFonts w:ascii="Lucida Sans" w:hAnsi="Lucida Sans" w:cs="Lucida Sans"/>
      <w:color w:val="000000"/>
      <w:sz w:val="18"/>
      <w:szCs w:val="18"/>
    </w:rPr>
  </w:style>
  <w:style w:type="character" w:customStyle="1" w:styleId="googqs-tidbit1">
    <w:name w:val="goog_qs-tidbit1"/>
    <w:basedOn w:val="DefaultParagraphFont"/>
    <w:rsid w:val="00406F5F"/>
    <w:rPr>
      <w:vanish w:val="0"/>
      <w:webHidden w:val="0"/>
      <w:specVanish w:val="0"/>
    </w:rPr>
  </w:style>
  <w:style w:type="paragraph" w:customStyle="1" w:styleId="summary">
    <w:name w:val="summary"/>
    <w:basedOn w:val="Normal"/>
    <w:rsid w:val="00121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12175C"/>
  </w:style>
  <w:style w:type="character" w:customStyle="1" w:styleId="textsize">
    <w:name w:val="textsize"/>
    <w:basedOn w:val="DefaultParagraphFont"/>
    <w:rsid w:val="0012175C"/>
  </w:style>
  <w:style w:type="character" w:customStyle="1" w:styleId="textsizesmall">
    <w:name w:val="textsizesmall"/>
    <w:basedOn w:val="DefaultParagraphFont"/>
    <w:rsid w:val="0012175C"/>
  </w:style>
  <w:style w:type="character" w:customStyle="1" w:styleId="textsizebig">
    <w:name w:val="textsizebig"/>
    <w:basedOn w:val="DefaultParagraphFont"/>
    <w:rsid w:val="0012175C"/>
  </w:style>
  <w:style w:type="paragraph" w:customStyle="1" w:styleId="ecxmsolistparagraph">
    <w:name w:val="ecxmsolistparagraph"/>
    <w:basedOn w:val="Normal"/>
    <w:rsid w:val="00B46240"/>
    <w:pPr>
      <w:spacing w:after="324" w:line="240" w:lineRule="auto"/>
    </w:pPr>
    <w:rPr>
      <w:rFonts w:ascii="Times New Roman" w:eastAsia="Times New Roman" w:hAnsi="Times New Roman" w:cs="Times New Roman"/>
      <w:sz w:val="24"/>
      <w:szCs w:val="24"/>
    </w:rPr>
  </w:style>
  <w:style w:type="character" w:customStyle="1" w:styleId="ft">
    <w:name w:val="ft"/>
    <w:basedOn w:val="DefaultParagraphFont"/>
    <w:rsid w:val="001D4CA1"/>
  </w:style>
  <w:style w:type="character" w:customStyle="1" w:styleId="style501">
    <w:name w:val="style501"/>
    <w:basedOn w:val="DefaultParagraphFont"/>
    <w:rsid w:val="00C46D8E"/>
    <w:rPr>
      <w:color w:val="000000"/>
    </w:rPr>
  </w:style>
  <w:style w:type="paragraph" w:styleId="BodyTextIndent">
    <w:name w:val="Body Text Indent"/>
    <w:basedOn w:val="Normal"/>
    <w:link w:val="BodyTextIndentChar1"/>
    <w:uiPriority w:val="99"/>
    <w:semiHidden/>
    <w:unhideWhenUsed/>
    <w:rsid w:val="00625FF6"/>
    <w:pPr>
      <w:spacing w:after="120"/>
      <w:ind w:left="360"/>
    </w:pPr>
  </w:style>
  <w:style w:type="character" w:customStyle="1" w:styleId="BodyTextIndentChar1">
    <w:name w:val="Body Text Indent Char1"/>
    <w:basedOn w:val="DefaultParagraphFont"/>
    <w:link w:val="BodyTextIndent"/>
    <w:uiPriority w:val="99"/>
    <w:semiHidden/>
    <w:locked/>
    <w:rsid w:val="00625FF6"/>
    <w:rPr>
      <w:rFonts w:eastAsiaTheme="minorEastAsia"/>
    </w:rPr>
  </w:style>
  <w:style w:type="character" w:customStyle="1" w:styleId="BodyTextIndentChar">
    <w:name w:val="Body Text Indent Char"/>
    <w:basedOn w:val="DefaultParagraphFont"/>
    <w:uiPriority w:val="99"/>
    <w:semiHidden/>
    <w:rsid w:val="00625FF6"/>
    <w:rPr>
      <w:rFonts w:eastAsiaTheme="minorEastAsia"/>
    </w:rPr>
  </w:style>
  <w:style w:type="paragraph" w:styleId="Caption">
    <w:name w:val="caption"/>
    <w:basedOn w:val="Normal"/>
    <w:next w:val="Normal"/>
    <w:uiPriority w:val="35"/>
    <w:unhideWhenUsed/>
    <w:qFormat/>
    <w:rsid w:val="002A68EA"/>
    <w:pPr>
      <w:spacing w:line="288" w:lineRule="auto"/>
    </w:pPr>
    <w:rPr>
      <w:b/>
      <w:bCs/>
      <w:color w:val="4F81BD" w:themeColor="accent1"/>
      <w:sz w:val="24"/>
      <w:szCs w:val="18"/>
    </w:rPr>
  </w:style>
  <w:style w:type="paragraph" w:styleId="NoSpacing">
    <w:name w:val="No Spacing"/>
    <w:uiPriority w:val="1"/>
    <w:qFormat/>
    <w:rsid w:val="007E1D2D"/>
    <w:pPr>
      <w:spacing w:after="0" w:line="240" w:lineRule="auto"/>
    </w:pPr>
    <w:rPr>
      <w:rFonts w:ascii="Arial" w:eastAsiaTheme="minorEastAsia" w:hAnsi="Arial"/>
    </w:rPr>
  </w:style>
  <w:style w:type="paragraph" w:styleId="Quote">
    <w:name w:val="Quote"/>
    <w:basedOn w:val="Normal"/>
    <w:next w:val="Normal"/>
    <w:link w:val="QuoteChar"/>
    <w:uiPriority w:val="29"/>
    <w:qFormat/>
    <w:rsid w:val="004E0815"/>
    <w:rPr>
      <w:i/>
      <w:iCs/>
      <w:color w:val="000000" w:themeColor="text1"/>
    </w:rPr>
  </w:style>
  <w:style w:type="character" w:customStyle="1" w:styleId="QuoteChar">
    <w:name w:val="Quote Char"/>
    <w:basedOn w:val="DefaultParagraphFont"/>
    <w:link w:val="Quote"/>
    <w:uiPriority w:val="29"/>
    <w:rsid w:val="004E0815"/>
    <w:rPr>
      <w:rFonts w:ascii="Arial" w:eastAsiaTheme="minorEastAsia" w:hAnsi="Arial"/>
      <w:i/>
      <w:iCs/>
      <w:color w:val="000000" w:themeColor="text1"/>
    </w:rPr>
  </w:style>
  <w:style w:type="paragraph" w:styleId="TOCHeading">
    <w:name w:val="TOC Heading"/>
    <w:basedOn w:val="Heading1"/>
    <w:next w:val="Normal"/>
    <w:uiPriority w:val="39"/>
    <w:semiHidden/>
    <w:unhideWhenUsed/>
    <w:qFormat/>
    <w:rsid w:val="005C717A"/>
    <w:pPr>
      <w:spacing w:before="48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54CF1"/>
    <w:pPr>
      <w:tabs>
        <w:tab w:val="right" w:leader="dot" w:pos="9350"/>
      </w:tabs>
      <w:spacing w:before="120" w:after="0" w:line="240" w:lineRule="auto"/>
    </w:pPr>
    <w:rPr>
      <w:rFonts w:asciiTheme="majorHAnsi" w:hAnsiTheme="majorHAnsi"/>
      <w:b/>
      <w:bCs/>
      <w:caps/>
      <w:sz w:val="24"/>
      <w:szCs w:val="24"/>
    </w:rPr>
  </w:style>
  <w:style w:type="paragraph" w:styleId="TOC2">
    <w:name w:val="toc 2"/>
    <w:basedOn w:val="Normal"/>
    <w:next w:val="Normal"/>
    <w:autoRedefine/>
    <w:uiPriority w:val="39"/>
    <w:unhideWhenUsed/>
    <w:rsid w:val="00C81171"/>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C81171"/>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C81171"/>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C81171"/>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C81171"/>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C81171"/>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C81171"/>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C81171"/>
    <w:pPr>
      <w:spacing w:after="0"/>
      <w:ind w:left="154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DD"/>
    <w:rPr>
      <w:rFonts w:ascii="Arial" w:eastAsiaTheme="minorEastAsia" w:hAnsi="Arial"/>
    </w:rPr>
  </w:style>
  <w:style w:type="paragraph" w:styleId="Heading1">
    <w:name w:val="heading 1"/>
    <w:basedOn w:val="Normal"/>
    <w:next w:val="Normal"/>
    <w:link w:val="Heading1Char"/>
    <w:uiPriority w:val="9"/>
    <w:qFormat/>
    <w:rsid w:val="005E7059"/>
    <w:pPr>
      <w:keepNext/>
      <w:keepLines/>
      <w:spacing w:after="0"/>
      <w:jc w:val="center"/>
      <w:outlineLvl w:val="0"/>
    </w:pPr>
    <w:rPr>
      <w:rFonts w:eastAsiaTheme="majorEastAsia" w:cstheme="majorBidi"/>
      <w:b/>
      <w:bCs/>
      <w:color w:val="1F497D" w:themeColor="text2"/>
      <w:sz w:val="44"/>
      <w:szCs w:val="28"/>
    </w:rPr>
  </w:style>
  <w:style w:type="paragraph" w:styleId="Heading2">
    <w:name w:val="heading 2"/>
    <w:basedOn w:val="Normal"/>
    <w:next w:val="Normal"/>
    <w:link w:val="Heading2Char"/>
    <w:uiPriority w:val="9"/>
    <w:unhideWhenUsed/>
    <w:qFormat/>
    <w:rsid w:val="00392383"/>
    <w:pPr>
      <w:keepNext/>
      <w:keepLines/>
      <w:spacing w:before="200" w:after="0"/>
      <w:jc w:val="center"/>
      <w:outlineLvl w:val="1"/>
    </w:pPr>
    <w:rPr>
      <w:rFonts w:eastAsiaTheme="majorEastAsia" w:cstheme="majorBidi"/>
      <w:b/>
      <w:bCs/>
      <w:color w:val="000000" w:themeColor="text1"/>
      <w:sz w:val="36"/>
      <w:szCs w:val="26"/>
    </w:rPr>
  </w:style>
  <w:style w:type="paragraph" w:styleId="Heading3">
    <w:name w:val="heading 3"/>
    <w:basedOn w:val="Normal"/>
    <w:link w:val="Heading3Char"/>
    <w:uiPriority w:val="9"/>
    <w:qFormat/>
    <w:rsid w:val="00023406"/>
    <w:pPr>
      <w:spacing w:before="100" w:beforeAutospacing="1" w:after="120" w:line="240" w:lineRule="auto"/>
      <w:outlineLvl w:val="2"/>
    </w:pPr>
    <w:rPr>
      <w:rFonts w:eastAsia="Times New Roman" w:cs="Times New Roman"/>
      <w:b/>
      <w:bCs/>
      <w:color w:val="1F497D" w:themeColor="text2"/>
      <w:sz w:val="27"/>
      <w:szCs w:val="27"/>
    </w:rPr>
  </w:style>
  <w:style w:type="paragraph" w:styleId="Heading4">
    <w:name w:val="heading 4"/>
    <w:basedOn w:val="Normal"/>
    <w:next w:val="Normal"/>
    <w:link w:val="Heading4Char"/>
    <w:uiPriority w:val="9"/>
    <w:unhideWhenUsed/>
    <w:qFormat/>
    <w:rsid w:val="00147802"/>
    <w:pPr>
      <w:keepNext/>
      <w:keepLines/>
      <w:spacing w:before="200" w:after="0"/>
      <w:jc w:val="center"/>
      <w:outlineLvl w:val="3"/>
    </w:pPr>
    <w:rPr>
      <w:rFonts w:eastAsiaTheme="majorEastAsia" w:cstheme="majorBidi"/>
      <w:b/>
      <w:bCs/>
      <w:iCs/>
      <w:color w:val="000000" w:themeColor="text1"/>
      <w:sz w:val="28"/>
    </w:rPr>
  </w:style>
  <w:style w:type="paragraph" w:styleId="Heading6">
    <w:name w:val="heading 6"/>
    <w:basedOn w:val="Normal"/>
    <w:next w:val="Normal"/>
    <w:link w:val="Heading6Char"/>
    <w:uiPriority w:val="9"/>
    <w:semiHidden/>
    <w:unhideWhenUsed/>
    <w:qFormat/>
    <w:rsid w:val="001217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059"/>
    <w:rPr>
      <w:rFonts w:ascii="Arial" w:eastAsiaTheme="majorEastAsia" w:hAnsi="Arial" w:cstheme="majorBidi"/>
      <w:b/>
      <w:bCs/>
      <w:color w:val="1F497D" w:themeColor="text2"/>
      <w:sz w:val="44"/>
      <w:szCs w:val="28"/>
    </w:rPr>
  </w:style>
  <w:style w:type="character" w:customStyle="1" w:styleId="Heading2Char">
    <w:name w:val="Heading 2 Char"/>
    <w:basedOn w:val="DefaultParagraphFont"/>
    <w:link w:val="Heading2"/>
    <w:uiPriority w:val="9"/>
    <w:rsid w:val="00392383"/>
    <w:rPr>
      <w:rFonts w:ascii="Arial" w:eastAsiaTheme="majorEastAsia" w:hAnsi="Arial" w:cstheme="majorBidi"/>
      <w:b/>
      <w:bCs/>
      <w:color w:val="000000" w:themeColor="text1"/>
      <w:sz w:val="36"/>
      <w:szCs w:val="26"/>
    </w:rPr>
  </w:style>
  <w:style w:type="character" w:customStyle="1" w:styleId="Heading3Char">
    <w:name w:val="Heading 3 Char"/>
    <w:basedOn w:val="DefaultParagraphFont"/>
    <w:link w:val="Heading3"/>
    <w:uiPriority w:val="9"/>
    <w:rsid w:val="00023406"/>
    <w:rPr>
      <w:rFonts w:ascii="Arial" w:eastAsia="Times New Roman" w:hAnsi="Arial" w:cs="Times New Roman"/>
      <w:b/>
      <w:bCs/>
      <w:color w:val="1F497D" w:themeColor="text2"/>
      <w:sz w:val="27"/>
      <w:szCs w:val="27"/>
    </w:rPr>
  </w:style>
  <w:style w:type="character" w:customStyle="1" w:styleId="Heading4Char">
    <w:name w:val="Heading 4 Char"/>
    <w:basedOn w:val="DefaultParagraphFont"/>
    <w:link w:val="Heading4"/>
    <w:uiPriority w:val="9"/>
    <w:rsid w:val="00147802"/>
    <w:rPr>
      <w:rFonts w:ascii="Arial" w:eastAsiaTheme="majorEastAsia" w:hAnsi="Arial" w:cstheme="majorBidi"/>
      <w:b/>
      <w:bCs/>
      <w:iCs/>
      <w:color w:val="000000" w:themeColor="text1"/>
      <w:sz w:val="28"/>
    </w:rPr>
  </w:style>
  <w:style w:type="character" w:customStyle="1" w:styleId="Heading6Char">
    <w:name w:val="Heading 6 Char"/>
    <w:basedOn w:val="DefaultParagraphFont"/>
    <w:link w:val="Heading6"/>
    <w:uiPriority w:val="9"/>
    <w:semiHidden/>
    <w:rsid w:val="0012175C"/>
    <w:rPr>
      <w:rFonts w:asciiTheme="majorHAnsi" w:eastAsiaTheme="majorEastAsia" w:hAnsiTheme="majorHAnsi" w:cstheme="majorBidi"/>
      <w:i/>
      <w:iCs/>
      <w:color w:val="243F60" w:themeColor="accent1" w:themeShade="7F"/>
    </w:rPr>
  </w:style>
  <w:style w:type="paragraph" w:styleId="NormalWeb">
    <w:name w:val="Normal (Web)"/>
    <w:basedOn w:val="Normal"/>
    <w:link w:val="NormalWebChar"/>
    <w:uiPriority w:val="99"/>
    <w:unhideWhenUsed/>
    <w:rsid w:val="00A04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04E55"/>
    <w:rPr>
      <w:rFonts w:ascii="Times New Roman" w:eastAsia="Times New Roman" w:hAnsi="Times New Roman" w:cs="Times New Roman"/>
      <w:sz w:val="24"/>
      <w:szCs w:val="24"/>
    </w:rPr>
  </w:style>
  <w:style w:type="table" w:styleId="TableGrid">
    <w:name w:val="Table Grid"/>
    <w:basedOn w:val="TableNormal"/>
    <w:uiPriority w:val="59"/>
    <w:rsid w:val="00A04E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A04E55"/>
    <w:pPr>
      <w:spacing w:after="0" w:line="240" w:lineRule="auto"/>
    </w:pPr>
    <w:rPr>
      <w:sz w:val="20"/>
      <w:szCs w:val="20"/>
    </w:rPr>
  </w:style>
  <w:style w:type="character" w:customStyle="1" w:styleId="FootnoteTextChar">
    <w:name w:val="Footnote Text Char"/>
    <w:basedOn w:val="DefaultParagraphFont"/>
    <w:link w:val="FootnoteText"/>
    <w:uiPriority w:val="99"/>
    <w:rsid w:val="00A04E55"/>
    <w:rPr>
      <w:rFonts w:eastAsiaTheme="minorEastAsia"/>
      <w:sz w:val="20"/>
      <w:szCs w:val="20"/>
    </w:rPr>
  </w:style>
  <w:style w:type="character" w:styleId="FootnoteReference">
    <w:name w:val="footnote reference"/>
    <w:basedOn w:val="DefaultParagraphFont"/>
    <w:uiPriority w:val="99"/>
    <w:semiHidden/>
    <w:unhideWhenUsed/>
    <w:rsid w:val="00A04E55"/>
    <w:rPr>
      <w:vertAlign w:val="superscript"/>
    </w:rPr>
  </w:style>
  <w:style w:type="character" w:styleId="Hyperlink">
    <w:name w:val="Hyperlink"/>
    <w:basedOn w:val="DefaultParagraphFont"/>
    <w:uiPriority w:val="99"/>
    <w:unhideWhenUsed/>
    <w:rsid w:val="00A04E55"/>
    <w:rPr>
      <w:color w:val="0000FF" w:themeColor="hyperlink"/>
      <w:u w:val="single"/>
    </w:rPr>
  </w:style>
  <w:style w:type="paragraph" w:styleId="ListParagraph">
    <w:name w:val="List Paragraph"/>
    <w:basedOn w:val="Normal"/>
    <w:uiPriority w:val="34"/>
    <w:qFormat/>
    <w:rsid w:val="002F02E9"/>
    <w:pPr>
      <w:numPr>
        <w:numId w:val="1"/>
      </w:numPr>
      <w:spacing w:after="240"/>
      <w:contextualSpacing/>
      <w:outlineLvl w:val="2"/>
    </w:pPr>
    <w:rPr>
      <w:rFonts w:cstheme="minorHAnsi"/>
      <w:color w:val="000000" w:themeColor="text1"/>
      <w:szCs w:val="24"/>
    </w:rPr>
  </w:style>
  <w:style w:type="paragraph" w:customStyle="1" w:styleId="ReportBodyText">
    <w:name w:val="Report Body Text"/>
    <w:basedOn w:val="BodyText"/>
    <w:qFormat/>
    <w:rsid w:val="00A04E55"/>
    <w:pPr>
      <w:spacing w:after="240" w:line="240" w:lineRule="auto"/>
      <w:jc w:val="both"/>
    </w:pPr>
    <w:rPr>
      <w:rFonts w:eastAsia="Times New Roman" w:cstheme="minorHAnsi"/>
      <w:sz w:val="23"/>
      <w:szCs w:val="23"/>
    </w:rPr>
  </w:style>
  <w:style w:type="paragraph" w:styleId="BodyText">
    <w:name w:val="Body Text"/>
    <w:basedOn w:val="Normal"/>
    <w:link w:val="BodyTextChar"/>
    <w:uiPriority w:val="99"/>
    <w:semiHidden/>
    <w:unhideWhenUsed/>
    <w:rsid w:val="00A04E55"/>
    <w:pPr>
      <w:spacing w:after="120"/>
    </w:pPr>
  </w:style>
  <w:style w:type="character" w:customStyle="1" w:styleId="BodyTextChar">
    <w:name w:val="Body Text Char"/>
    <w:basedOn w:val="DefaultParagraphFont"/>
    <w:link w:val="BodyText"/>
    <w:uiPriority w:val="99"/>
    <w:semiHidden/>
    <w:rsid w:val="00A04E55"/>
    <w:rPr>
      <w:rFonts w:eastAsiaTheme="minorEastAsia"/>
    </w:rPr>
  </w:style>
  <w:style w:type="paragraph" w:customStyle="1" w:styleId="ReportList">
    <w:name w:val="Report List"/>
    <w:basedOn w:val="List"/>
    <w:qFormat/>
    <w:rsid w:val="00A04E55"/>
    <w:pPr>
      <w:numPr>
        <w:numId w:val="2"/>
      </w:numPr>
      <w:spacing w:after="80"/>
      <w:jc w:val="both"/>
    </w:pPr>
    <w:rPr>
      <w:rFonts w:cstheme="minorHAnsi"/>
      <w:sz w:val="23"/>
      <w:szCs w:val="23"/>
    </w:rPr>
  </w:style>
  <w:style w:type="paragraph" w:styleId="List">
    <w:name w:val="List"/>
    <w:basedOn w:val="Normal"/>
    <w:uiPriority w:val="99"/>
    <w:semiHidden/>
    <w:unhideWhenUsed/>
    <w:rsid w:val="00A04E55"/>
    <w:pPr>
      <w:ind w:left="360" w:hanging="360"/>
      <w:contextualSpacing/>
    </w:pPr>
  </w:style>
  <w:style w:type="paragraph" w:customStyle="1" w:styleId="ReportTableHead">
    <w:name w:val="Report Table Head"/>
    <w:basedOn w:val="Normal"/>
    <w:qFormat/>
    <w:rsid w:val="00A04E55"/>
    <w:pPr>
      <w:keepNext/>
      <w:keepLines/>
      <w:widowControl w:val="0"/>
      <w:autoSpaceDE w:val="0"/>
      <w:autoSpaceDN w:val="0"/>
      <w:adjustRightInd w:val="0"/>
      <w:spacing w:after="0" w:line="240" w:lineRule="auto"/>
      <w:jc w:val="center"/>
    </w:pPr>
    <w:rPr>
      <w:rFonts w:eastAsia="Times New Roman" w:cstheme="minorHAnsi"/>
      <w:b/>
      <w:color w:val="FFFFFF" w:themeColor="background1"/>
      <w:sz w:val="24"/>
      <w:szCs w:val="8"/>
    </w:rPr>
  </w:style>
  <w:style w:type="paragraph" w:customStyle="1" w:styleId="ReportTableData">
    <w:name w:val="Report Table Data"/>
    <w:basedOn w:val="Normal"/>
    <w:qFormat/>
    <w:rsid w:val="00A04E55"/>
    <w:pPr>
      <w:keepNext/>
      <w:keepLines/>
      <w:spacing w:after="0" w:line="240" w:lineRule="auto"/>
      <w:jc w:val="center"/>
    </w:pPr>
    <w:rPr>
      <w:rFonts w:eastAsia="Calibri" w:cstheme="minorHAnsi"/>
      <w:sz w:val="23"/>
      <w:szCs w:val="23"/>
    </w:rPr>
  </w:style>
  <w:style w:type="paragraph" w:customStyle="1" w:styleId="Default">
    <w:name w:val="Default"/>
    <w:rsid w:val="00A04E55"/>
    <w:pPr>
      <w:autoSpaceDE w:val="0"/>
      <w:autoSpaceDN w:val="0"/>
      <w:adjustRightInd w:val="0"/>
      <w:spacing w:after="0" w:line="240" w:lineRule="auto"/>
    </w:pPr>
    <w:rPr>
      <w:rFonts w:ascii="Bell MT" w:hAnsi="Bell MT" w:cs="Bell MT"/>
      <w:color w:val="000000"/>
      <w:sz w:val="24"/>
      <w:szCs w:val="24"/>
    </w:rPr>
  </w:style>
  <w:style w:type="character" w:customStyle="1" w:styleId="A4">
    <w:name w:val="A4"/>
    <w:uiPriority w:val="99"/>
    <w:rsid w:val="00A04E55"/>
    <w:rPr>
      <w:rFonts w:cs="Bell MT"/>
      <w:b/>
      <w:bCs/>
      <w:color w:val="000000"/>
      <w:sz w:val="28"/>
      <w:szCs w:val="28"/>
    </w:rPr>
  </w:style>
  <w:style w:type="character" w:customStyle="1" w:styleId="A2">
    <w:name w:val="A2"/>
    <w:uiPriority w:val="99"/>
    <w:rsid w:val="00A04E55"/>
    <w:rPr>
      <w:rFonts w:cs="Bell MT"/>
      <w:color w:val="000000"/>
      <w:sz w:val="26"/>
      <w:szCs w:val="26"/>
    </w:rPr>
  </w:style>
  <w:style w:type="paragraph" w:styleId="Header">
    <w:name w:val="header"/>
    <w:basedOn w:val="Normal"/>
    <w:link w:val="HeaderChar"/>
    <w:uiPriority w:val="99"/>
    <w:semiHidden/>
    <w:unhideWhenUsed/>
    <w:rsid w:val="00F857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7BA"/>
    <w:rPr>
      <w:rFonts w:eastAsiaTheme="minorEastAsia"/>
    </w:rPr>
  </w:style>
  <w:style w:type="paragraph" w:styleId="Footer">
    <w:name w:val="footer"/>
    <w:basedOn w:val="Normal"/>
    <w:link w:val="FooterChar"/>
    <w:uiPriority w:val="99"/>
    <w:unhideWhenUsed/>
    <w:rsid w:val="00F85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BA"/>
    <w:rPr>
      <w:rFonts w:eastAsiaTheme="minorEastAsia"/>
    </w:rPr>
  </w:style>
  <w:style w:type="paragraph" w:styleId="BalloonText">
    <w:name w:val="Balloon Text"/>
    <w:basedOn w:val="Normal"/>
    <w:link w:val="BalloonTextChar"/>
    <w:uiPriority w:val="99"/>
    <w:semiHidden/>
    <w:unhideWhenUsed/>
    <w:rsid w:val="00F8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BA"/>
    <w:rPr>
      <w:rFonts w:ascii="Tahoma" w:eastAsiaTheme="minorEastAsia" w:hAnsi="Tahoma" w:cs="Tahoma"/>
      <w:sz w:val="16"/>
      <w:szCs w:val="16"/>
    </w:rPr>
  </w:style>
  <w:style w:type="character" w:customStyle="1" w:styleId="A3">
    <w:name w:val="A3"/>
    <w:uiPriority w:val="99"/>
    <w:rsid w:val="005A63F3"/>
    <w:rPr>
      <w:color w:val="000000"/>
      <w:sz w:val="20"/>
      <w:szCs w:val="20"/>
    </w:rPr>
  </w:style>
  <w:style w:type="character" w:styleId="Emphasis">
    <w:name w:val="Emphasis"/>
    <w:basedOn w:val="DefaultParagraphFont"/>
    <w:uiPriority w:val="20"/>
    <w:qFormat/>
    <w:rsid w:val="00EC68A8"/>
    <w:rPr>
      <w:rFonts w:ascii="Lato" w:hAnsi="Lato" w:hint="default"/>
      <w:i/>
      <w:iCs/>
    </w:rPr>
  </w:style>
  <w:style w:type="character" w:customStyle="1" w:styleId="select-label1">
    <w:name w:val="select-label1"/>
    <w:basedOn w:val="DefaultParagraphFont"/>
    <w:rsid w:val="00EC68A8"/>
    <w:rPr>
      <w:b/>
      <w:bCs/>
      <w:sz w:val="18"/>
      <w:szCs w:val="18"/>
    </w:rPr>
  </w:style>
  <w:style w:type="character" w:customStyle="1" w:styleId="sharebuttonen4">
    <w:name w:val="sharebuttonen4"/>
    <w:basedOn w:val="DefaultParagraphFont"/>
    <w:rsid w:val="00EC68A8"/>
    <w:rPr>
      <w:b/>
      <w:bCs/>
      <w:vanish w:val="0"/>
      <w:webHidden w:val="0"/>
      <w:color w:val="333333"/>
      <w:sz w:val="21"/>
      <w:szCs w:val="21"/>
      <w:specVanish w:val="0"/>
    </w:rPr>
  </w:style>
  <w:style w:type="character" w:customStyle="1" w:styleId="sharebuttones4">
    <w:name w:val="sharebuttones4"/>
    <w:basedOn w:val="DefaultParagraphFont"/>
    <w:rsid w:val="00EC68A8"/>
    <w:rPr>
      <w:b/>
      <w:bCs/>
      <w:vanish/>
      <w:webHidden w:val="0"/>
      <w:color w:val="333333"/>
      <w:sz w:val="21"/>
      <w:szCs w:val="21"/>
      <w:specVanish w:val="0"/>
    </w:rPr>
  </w:style>
  <w:style w:type="character" w:styleId="Strong">
    <w:name w:val="Strong"/>
    <w:basedOn w:val="DefaultParagraphFont"/>
    <w:qFormat/>
    <w:rsid w:val="00147802"/>
    <w:rPr>
      <w:rFonts w:ascii="Arial" w:hAnsi="Arial"/>
      <w:b/>
      <w:bCs/>
      <w:i w:val="0"/>
      <w:sz w:val="22"/>
    </w:rPr>
  </w:style>
  <w:style w:type="character" w:customStyle="1" w:styleId="style21">
    <w:name w:val="style21"/>
    <w:basedOn w:val="DefaultParagraphFont"/>
    <w:rsid w:val="00941A01"/>
    <w:rPr>
      <w:color w:val="016893"/>
    </w:rPr>
  </w:style>
  <w:style w:type="character" w:customStyle="1" w:styleId="A1">
    <w:name w:val="A1"/>
    <w:uiPriority w:val="99"/>
    <w:rsid w:val="0079080F"/>
    <w:rPr>
      <w:rFonts w:cs="Myriad Pro"/>
      <w:color w:val="000000"/>
      <w:sz w:val="20"/>
      <w:szCs w:val="20"/>
    </w:rPr>
  </w:style>
  <w:style w:type="character" w:customStyle="1" w:styleId="A10">
    <w:name w:val="A10"/>
    <w:uiPriority w:val="99"/>
    <w:rsid w:val="00530BDB"/>
    <w:rPr>
      <w:rFonts w:ascii="ITC Garamond Std" w:hAnsi="ITC Garamond Std" w:cs="ITC Garamond Std"/>
      <w:color w:val="000000"/>
      <w:sz w:val="12"/>
      <w:szCs w:val="12"/>
    </w:rPr>
  </w:style>
  <w:style w:type="character" w:customStyle="1" w:styleId="emphasis1">
    <w:name w:val="emphasis1"/>
    <w:basedOn w:val="DefaultParagraphFont"/>
    <w:rsid w:val="00EB5981"/>
    <w:rPr>
      <w:b/>
      <w:bCs/>
      <w:color w:val="213856"/>
      <w:sz w:val="26"/>
      <w:szCs w:val="26"/>
    </w:rPr>
  </w:style>
  <w:style w:type="character" w:styleId="FollowedHyperlink">
    <w:name w:val="FollowedHyperlink"/>
    <w:basedOn w:val="DefaultParagraphFont"/>
    <w:uiPriority w:val="99"/>
    <w:semiHidden/>
    <w:unhideWhenUsed/>
    <w:rsid w:val="004907D8"/>
    <w:rPr>
      <w:color w:val="800080" w:themeColor="followedHyperlink"/>
      <w:u w:val="single"/>
    </w:rPr>
  </w:style>
  <w:style w:type="character" w:customStyle="1" w:styleId="tp-label">
    <w:name w:val="tp-label"/>
    <w:basedOn w:val="DefaultParagraphFont"/>
    <w:rsid w:val="004907D8"/>
  </w:style>
  <w:style w:type="character" w:customStyle="1" w:styleId="A7">
    <w:name w:val="A7"/>
    <w:uiPriority w:val="99"/>
    <w:rsid w:val="004E134C"/>
    <w:rPr>
      <w:rFonts w:cs="AvantGarde Medium"/>
      <w:color w:val="000000"/>
      <w:sz w:val="30"/>
      <w:szCs w:val="30"/>
    </w:rPr>
  </w:style>
  <w:style w:type="character" w:customStyle="1" w:styleId="fn">
    <w:name w:val="fn"/>
    <w:basedOn w:val="DefaultParagraphFont"/>
    <w:rsid w:val="00DE3CAF"/>
  </w:style>
  <w:style w:type="character" w:customStyle="1" w:styleId="legend-color">
    <w:name w:val="legend-color"/>
    <w:basedOn w:val="DefaultParagraphFont"/>
    <w:rsid w:val="00D57766"/>
  </w:style>
  <w:style w:type="character" w:customStyle="1" w:styleId="A6">
    <w:name w:val="A6"/>
    <w:uiPriority w:val="99"/>
    <w:rsid w:val="00335CE8"/>
    <w:rPr>
      <w:rFonts w:ascii="Lucida Sans" w:hAnsi="Lucida Sans" w:cs="Lucida Sans"/>
      <w:color w:val="000000"/>
      <w:sz w:val="18"/>
      <w:szCs w:val="18"/>
    </w:rPr>
  </w:style>
  <w:style w:type="character" w:customStyle="1" w:styleId="googqs-tidbit1">
    <w:name w:val="goog_qs-tidbit1"/>
    <w:basedOn w:val="DefaultParagraphFont"/>
    <w:rsid w:val="00406F5F"/>
    <w:rPr>
      <w:vanish w:val="0"/>
      <w:webHidden w:val="0"/>
      <w:specVanish w:val="0"/>
    </w:rPr>
  </w:style>
  <w:style w:type="paragraph" w:customStyle="1" w:styleId="summary">
    <w:name w:val="summary"/>
    <w:basedOn w:val="Normal"/>
    <w:rsid w:val="00121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12175C"/>
  </w:style>
  <w:style w:type="character" w:customStyle="1" w:styleId="textsize">
    <w:name w:val="textsize"/>
    <w:basedOn w:val="DefaultParagraphFont"/>
    <w:rsid w:val="0012175C"/>
  </w:style>
  <w:style w:type="character" w:customStyle="1" w:styleId="textsizesmall">
    <w:name w:val="textsizesmall"/>
    <w:basedOn w:val="DefaultParagraphFont"/>
    <w:rsid w:val="0012175C"/>
  </w:style>
  <w:style w:type="character" w:customStyle="1" w:styleId="textsizebig">
    <w:name w:val="textsizebig"/>
    <w:basedOn w:val="DefaultParagraphFont"/>
    <w:rsid w:val="0012175C"/>
  </w:style>
  <w:style w:type="paragraph" w:customStyle="1" w:styleId="ecxmsolistparagraph">
    <w:name w:val="ecxmsolistparagraph"/>
    <w:basedOn w:val="Normal"/>
    <w:rsid w:val="00B46240"/>
    <w:pPr>
      <w:spacing w:after="324" w:line="240" w:lineRule="auto"/>
    </w:pPr>
    <w:rPr>
      <w:rFonts w:ascii="Times New Roman" w:eastAsia="Times New Roman" w:hAnsi="Times New Roman" w:cs="Times New Roman"/>
      <w:sz w:val="24"/>
      <w:szCs w:val="24"/>
    </w:rPr>
  </w:style>
  <w:style w:type="character" w:customStyle="1" w:styleId="ft">
    <w:name w:val="ft"/>
    <w:basedOn w:val="DefaultParagraphFont"/>
    <w:rsid w:val="001D4CA1"/>
  </w:style>
  <w:style w:type="character" w:customStyle="1" w:styleId="style501">
    <w:name w:val="style501"/>
    <w:basedOn w:val="DefaultParagraphFont"/>
    <w:rsid w:val="00C46D8E"/>
    <w:rPr>
      <w:color w:val="000000"/>
    </w:rPr>
  </w:style>
  <w:style w:type="paragraph" w:styleId="BodyTextIndent">
    <w:name w:val="Body Text Indent"/>
    <w:basedOn w:val="Normal"/>
    <w:link w:val="BodyTextIndentChar1"/>
    <w:uiPriority w:val="99"/>
    <w:semiHidden/>
    <w:unhideWhenUsed/>
    <w:rsid w:val="00625FF6"/>
    <w:pPr>
      <w:spacing w:after="120"/>
      <w:ind w:left="360"/>
    </w:pPr>
  </w:style>
  <w:style w:type="character" w:customStyle="1" w:styleId="BodyTextIndentChar1">
    <w:name w:val="Body Text Indent Char1"/>
    <w:basedOn w:val="DefaultParagraphFont"/>
    <w:link w:val="BodyTextIndent"/>
    <w:uiPriority w:val="99"/>
    <w:semiHidden/>
    <w:locked/>
    <w:rsid w:val="00625FF6"/>
    <w:rPr>
      <w:rFonts w:eastAsiaTheme="minorEastAsia"/>
    </w:rPr>
  </w:style>
  <w:style w:type="character" w:customStyle="1" w:styleId="BodyTextIndentChar">
    <w:name w:val="Body Text Indent Char"/>
    <w:basedOn w:val="DefaultParagraphFont"/>
    <w:uiPriority w:val="99"/>
    <w:semiHidden/>
    <w:rsid w:val="00625FF6"/>
    <w:rPr>
      <w:rFonts w:eastAsiaTheme="minorEastAsia"/>
    </w:rPr>
  </w:style>
  <w:style w:type="paragraph" w:styleId="Caption">
    <w:name w:val="caption"/>
    <w:basedOn w:val="Normal"/>
    <w:next w:val="Normal"/>
    <w:uiPriority w:val="35"/>
    <w:unhideWhenUsed/>
    <w:qFormat/>
    <w:rsid w:val="002A68EA"/>
    <w:pPr>
      <w:spacing w:line="288" w:lineRule="auto"/>
    </w:pPr>
    <w:rPr>
      <w:b/>
      <w:bCs/>
      <w:color w:val="4F81BD" w:themeColor="accent1"/>
      <w:sz w:val="24"/>
      <w:szCs w:val="18"/>
    </w:rPr>
  </w:style>
  <w:style w:type="paragraph" w:styleId="NoSpacing">
    <w:name w:val="No Spacing"/>
    <w:uiPriority w:val="1"/>
    <w:qFormat/>
    <w:rsid w:val="007E1D2D"/>
    <w:pPr>
      <w:spacing w:after="0" w:line="240" w:lineRule="auto"/>
    </w:pPr>
    <w:rPr>
      <w:rFonts w:ascii="Arial" w:eastAsiaTheme="minorEastAsia" w:hAnsi="Arial"/>
    </w:rPr>
  </w:style>
  <w:style w:type="paragraph" w:styleId="Quote">
    <w:name w:val="Quote"/>
    <w:basedOn w:val="Normal"/>
    <w:next w:val="Normal"/>
    <w:link w:val="QuoteChar"/>
    <w:uiPriority w:val="29"/>
    <w:qFormat/>
    <w:rsid w:val="004E0815"/>
    <w:rPr>
      <w:i/>
      <w:iCs/>
      <w:color w:val="000000" w:themeColor="text1"/>
    </w:rPr>
  </w:style>
  <w:style w:type="character" w:customStyle="1" w:styleId="QuoteChar">
    <w:name w:val="Quote Char"/>
    <w:basedOn w:val="DefaultParagraphFont"/>
    <w:link w:val="Quote"/>
    <w:uiPriority w:val="29"/>
    <w:rsid w:val="004E0815"/>
    <w:rPr>
      <w:rFonts w:ascii="Arial" w:eastAsiaTheme="minorEastAsia" w:hAnsi="Arial"/>
      <w:i/>
      <w:iCs/>
      <w:color w:val="000000" w:themeColor="text1"/>
    </w:rPr>
  </w:style>
  <w:style w:type="paragraph" w:styleId="TOCHeading">
    <w:name w:val="TOC Heading"/>
    <w:basedOn w:val="Heading1"/>
    <w:next w:val="Normal"/>
    <w:uiPriority w:val="39"/>
    <w:semiHidden/>
    <w:unhideWhenUsed/>
    <w:qFormat/>
    <w:rsid w:val="005C717A"/>
    <w:pPr>
      <w:spacing w:before="48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54CF1"/>
    <w:pPr>
      <w:tabs>
        <w:tab w:val="right" w:leader="dot" w:pos="9350"/>
      </w:tabs>
      <w:spacing w:before="120" w:after="0" w:line="240" w:lineRule="auto"/>
    </w:pPr>
    <w:rPr>
      <w:rFonts w:asciiTheme="majorHAnsi" w:hAnsiTheme="majorHAnsi"/>
      <w:b/>
      <w:bCs/>
      <w:caps/>
      <w:sz w:val="24"/>
      <w:szCs w:val="24"/>
    </w:rPr>
  </w:style>
  <w:style w:type="paragraph" w:styleId="TOC2">
    <w:name w:val="toc 2"/>
    <w:basedOn w:val="Normal"/>
    <w:next w:val="Normal"/>
    <w:autoRedefine/>
    <w:uiPriority w:val="39"/>
    <w:unhideWhenUsed/>
    <w:rsid w:val="00C81171"/>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C81171"/>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C81171"/>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C81171"/>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C81171"/>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C81171"/>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C81171"/>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C81171"/>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809">
      <w:bodyDiv w:val="1"/>
      <w:marLeft w:val="0"/>
      <w:marRight w:val="0"/>
      <w:marTop w:val="0"/>
      <w:marBottom w:val="0"/>
      <w:divBdr>
        <w:top w:val="none" w:sz="0" w:space="0" w:color="auto"/>
        <w:left w:val="none" w:sz="0" w:space="0" w:color="auto"/>
        <w:bottom w:val="none" w:sz="0" w:space="0" w:color="auto"/>
        <w:right w:val="none" w:sz="0" w:space="0" w:color="auto"/>
      </w:divBdr>
    </w:div>
    <w:div w:id="55519884">
      <w:bodyDiv w:val="1"/>
      <w:marLeft w:val="0"/>
      <w:marRight w:val="0"/>
      <w:marTop w:val="0"/>
      <w:marBottom w:val="0"/>
      <w:divBdr>
        <w:top w:val="none" w:sz="0" w:space="0" w:color="auto"/>
        <w:left w:val="none" w:sz="0" w:space="0" w:color="auto"/>
        <w:bottom w:val="none" w:sz="0" w:space="0" w:color="auto"/>
        <w:right w:val="none" w:sz="0" w:space="0" w:color="auto"/>
      </w:divBdr>
    </w:div>
    <w:div w:id="66658672">
      <w:bodyDiv w:val="1"/>
      <w:marLeft w:val="0"/>
      <w:marRight w:val="0"/>
      <w:marTop w:val="0"/>
      <w:marBottom w:val="0"/>
      <w:divBdr>
        <w:top w:val="none" w:sz="0" w:space="0" w:color="auto"/>
        <w:left w:val="none" w:sz="0" w:space="0" w:color="auto"/>
        <w:bottom w:val="none" w:sz="0" w:space="0" w:color="auto"/>
        <w:right w:val="none" w:sz="0" w:space="0" w:color="auto"/>
      </w:divBdr>
      <w:divsChild>
        <w:div w:id="825167780">
          <w:marLeft w:val="0"/>
          <w:marRight w:val="0"/>
          <w:marTop w:val="0"/>
          <w:marBottom w:val="0"/>
          <w:divBdr>
            <w:top w:val="none" w:sz="0" w:space="0" w:color="auto"/>
            <w:left w:val="none" w:sz="0" w:space="0" w:color="auto"/>
            <w:bottom w:val="none" w:sz="0" w:space="0" w:color="auto"/>
            <w:right w:val="none" w:sz="0" w:space="0" w:color="auto"/>
          </w:divBdr>
          <w:divsChild>
            <w:div w:id="602152493">
              <w:marLeft w:val="0"/>
              <w:marRight w:val="0"/>
              <w:marTop w:val="0"/>
              <w:marBottom w:val="0"/>
              <w:divBdr>
                <w:top w:val="none" w:sz="0" w:space="0" w:color="auto"/>
                <w:left w:val="none" w:sz="0" w:space="0" w:color="auto"/>
                <w:bottom w:val="none" w:sz="0" w:space="0" w:color="auto"/>
                <w:right w:val="none" w:sz="0" w:space="0" w:color="auto"/>
              </w:divBdr>
              <w:divsChild>
                <w:div w:id="729157721">
                  <w:marLeft w:val="0"/>
                  <w:marRight w:val="0"/>
                  <w:marTop w:val="0"/>
                  <w:marBottom w:val="0"/>
                  <w:divBdr>
                    <w:top w:val="none" w:sz="0" w:space="0" w:color="auto"/>
                    <w:left w:val="none" w:sz="0" w:space="0" w:color="auto"/>
                    <w:bottom w:val="none" w:sz="0" w:space="0" w:color="auto"/>
                    <w:right w:val="none" w:sz="0" w:space="0" w:color="auto"/>
                  </w:divBdr>
                  <w:divsChild>
                    <w:div w:id="1618558081">
                      <w:marLeft w:val="0"/>
                      <w:marRight w:val="0"/>
                      <w:marTop w:val="0"/>
                      <w:marBottom w:val="0"/>
                      <w:divBdr>
                        <w:top w:val="none" w:sz="0" w:space="0" w:color="auto"/>
                        <w:left w:val="none" w:sz="0" w:space="0" w:color="auto"/>
                        <w:bottom w:val="none" w:sz="0" w:space="0" w:color="auto"/>
                        <w:right w:val="none" w:sz="0" w:space="0" w:color="auto"/>
                      </w:divBdr>
                      <w:divsChild>
                        <w:div w:id="1713967695">
                          <w:marLeft w:val="0"/>
                          <w:marRight w:val="0"/>
                          <w:marTop w:val="0"/>
                          <w:marBottom w:val="0"/>
                          <w:divBdr>
                            <w:top w:val="none" w:sz="0" w:space="0" w:color="auto"/>
                            <w:left w:val="none" w:sz="0" w:space="0" w:color="auto"/>
                            <w:bottom w:val="none" w:sz="0" w:space="0" w:color="auto"/>
                            <w:right w:val="none" w:sz="0" w:space="0" w:color="auto"/>
                          </w:divBdr>
                          <w:divsChild>
                            <w:div w:id="1467354446">
                              <w:marLeft w:val="0"/>
                              <w:marRight w:val="0"/>
                              <w:marTop w:val="0"/>
                              <w:marBottom w:val="0"/>
                              <w:divBdr>
                                <w:top w:val="none" w:sz="0" w:space="0" w:color="auto"/>
                                <w:left w:val="none" w:sz="0" w:space="0" w:color="auto"/>
                                <w:bottom w:val="none" w:sz="0" w:space="0" w:color="auto"/>
                                <w:right w:val="none" w:sz="0" w:space="0" w:color="auto"/>
                              </w:divBdr>
                              <w:divsChild>
                                <w:div w:id="1167788034">
                                  <w:marLeft w:val="0"/>
                                  <w:marRight w:val="0"/>
                                  <w:marTop w:val="0"/>
                                  <w:marBottom w:val="0"/>
                                  <w:divBdr>
                                    <w:top w:val="none" w:sz="0" w:space="0" w:color="auto"/>
                                    <w:left w:val="none" w:sz="0" w:space="0" w:color="auto"/>
                                    <w:bottom w:val="none" w:sz="0" w:space="0" w:color="auto"/>
                                    <w:right w:val="none" w:sz="0" w:space="0" w:color="auto"/>
                                  </w:divBdr>
                                </w:div>
                                <w:div w:id="1227842099">
                                  <w:marLeft w:val="0"/>
                                  <w:marRight w:val="0"/>
                                  <w:marTop w:val="0"/>
                                  <w:marBottom w:val="0"/>
                                  <w:divBdr>
                                    <w:top w:val="none" w:sz="0" w:space="0" w:color="auto"/>
                                    <w:left w:val="none" w:sz="0" w:space="0" w:color="auto"/>
                                    <w:bottom w:val="none" w:sz="0" w:space="0" w:color="auto"/>
                                    <w:right w:val="none" w:sz="0" w:space="0" w:color="auto"/>
                                  </w:divBdr>
                                </w:div>
                                <w:div w:id="18182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62199">
      <w:bodyDiv w:val="1"/>
      <w:marLeft w:val="0"/>
      <w:marRight w:val="0"/>
      <w:marTop w:val="0"/>
      <w:marBottom w:val="0"/>
      <w:divBdr>
        <w:top w:val="none" w:sz="0" w:space="0" w:color="auto"/>
        <w:left w:val="none" w:sz="0" w:space="0" w:color="auto"/>
        <w:bottom w:val="none" w:sz="0" w:space="0" w:color="auto"/>
        <w:right w:val="none" w:sz="0" w:space="0" w:color="auto"/>
      </w:divBdr>
      <w:divsChild>
        <w:div w:id="462425323">
          <w:marLeft w:val="0"/>
          <w:marRight w:val="0"/>
          <w:marTop w:val="0"/>
          <w:marBottom w:val="0"/>
          <w:divBdr>
            <w:top w:val="none" w:sz="0" w:space="0" w:color="auto"/>
            <w:left w:val="none" w:sz="0" w:space="0" w:color="auto"/>
            <w:bottom w:val="none" w:sz="0" w:space="0" w:color="auto"/>
            <w:right w:val="none" w:sz="0" w:space="0" w:color="auto"/>
          </w:divBdr>
          <w:divsChild>
            <w:div w:id="1833911385">
              <w:marLeft w:val="0"/>
              <w:marRight w:val="0"/>
              <w:marTop w:val="0"/>
              <w:marBottom w:val="0"/>
              <w:divBdr>
                <w:top w:val="none" w:sz="0" w:space="0" w:color="auto"/>
                <w:left w:val="none" w:sz="0" w:space="0" w:color="auto"/>
                <w:bottom w:val="none" w:sz="0" w:space="0" w:color="auto"/>
                <w:right w:val="none" w:sz="0" w:space="0" w:color="auto"/>
              </w:divBdr>
              <w:divsChild>
                <w:div w:id="501241061">
                  <w:marLeft w:val="0"/>
                  <w:marRight w:val="0"/>
                  <w:marTop w:val="0"/>
                  <w:marBottom w:val="0"/>
                  <w:divBdr>
                    <w:top w:val="none" w:sz="0" w:space="0" w:color="auto"/>
                    <w:left w:val="none" w:sz="0" w:space="0" w:color="auto"/>
                    <w:bottom w:val="none" w:sz="0" w:space="0" w:color="auto"/>
                    <w:right w:val="none" w:sz="0" w:space="0" w:color="auto"/>
                  </w:divBdr>
                  <w:divsChild>
                    <w:div w:id="2088767466">
                      <w:marLeft w:val="0"/>
                      <w:marRight w:val="0"/>
                      <w:marTop w:val="0"/>
                      <w:marBottom w:val="0"/>
                      <w:divBdr>
                        <w:top w:val="none" w:sz="0" w:space="0" w:color="auto"/>
                        <w:left w:val="none" w:sz="0" w:space="0" w:color="auto"/>
                        <w:bottom w:val="none" w:sz="0" w:space="0" w:color="auto"/>
                        <w:right w:val="none" w:sz="0" w:space="0" w:color="auto"/>
                      </w:divBdr>
                      <w:divsChild>
                        <w:div w:id="139468271">
                          <w:marLeft w:val="0"/>
                          <w:marRight w:val="0"/>
                          <w:marTop w:val="0"/>
                          <w:marBottom w:val="0"/>
                          <w:divBdr>
                            <w:top w:val="none" w:sz="0" w:space="0" w:color="auto"/>
                            <w:left w:val="none" w:sz="0" w:space="0" w:color="auto"/>
                            <w:bottom w:val="none" w:sz="0" w:space="0" w:color="auto"/>
                            <w:right w:val="none" w:sz="0" w:space="0" w:color="auto"/>
                          </w:divBdr>
                          <w:divsChild>
                            <w:div w:id="1458453872">
                              <w:marLeft w:val="0"/>
                              <w:marRight w:val="0"/>
                              <w:marTop w:val="0"/>
                              <w:marBottom w:val="0"/>
                              <w:divBdr>
                                <w:top w:val="none" w:sz="0" w:space="0" w:color="auto"/>
                                <w:left w:val="none" w:sz="0" w:space="0" w:color="auto"/>
                                <w:bottom w:val="none" w:sz="0" w:space="0" w:color="auto"/>
                                <w:right w:val="none" w:sz="0" w:space="0" w:color="auto"/>
                              </w:divBdr>
                              <w:divsChild>
                                <w:div w:id="2103866327">
                                  <w:marLeft w:val="0"/>
                                  <w:marRight w:val="0"/>
                                  <w:marTop w:val="0"/>
                                  <w:marBottom w:val="0"/>
                                  <w:divBdr>
                                    <w:top w:val="none" w:sz="0" w:space="0" w:color="auto"/>
                                    <w:left w:val="none" w:sz="0" w:space="0" w:color="auto"/>
                                    <w:bottom w:val="none" w:sz="0" w:space="0" w:color="auto"/>
                                    <w:right w:val="none" w:sz="0" w:space="0" w:color="auto"/>
                                  </w:divBdr>
                                </w:div>
                                <w:div w:id="415781783">
                                  <w:marLeft w:val="0"/>
                                  <w:marRight w:val="0"/>
                                  <w:marTop w:val="0"/>
                                  <w:marBottom w:val="0"/>
                                  <w:divBdr>
                                    <w:top w:val="none" w:sz="0" w:space="0" w:color="auto"/>
                                    <w:left w:val="none" w:sz="0" w:space="0" w:color="auto"/>
                                    <w:bottom w:val="none" w:sz="0" w:space="0" w:color="auto"/>
                                    <w:right w:val="none" w:sz="0" w:space="0" w:color="auto"/>
                                  </w:divBdr>
                                </w:div>
                                <w:div w:id="1536311345">
                                  <w:marLeft w:val="0"/>
                                  <w:marRight w:val="0"/>
                                  <w:marTop w:val="0"/>
                                  <w:marBottom w:val="0"/>
                                  <w:divBdr>
                                    <w:top w:val="none" w:sz="0" w:space="0" w:color="auto"/>
                                    <w:left w:val="none" w:sz="0" w:space="0" w:color="auto"/>
                                    <w:bottom w:val="none" w:sz="0" w:space="0" w:color="auto"/>
                                    <w:right w:val="none" w:sz="0" w:space="0" w:color="auto"/>
                                  </w:divBdr>
                                </w:div>
                                <w:div w:id="703796192">
                                  <w:marLeft w:val="0"/>
                                  <w:marRight w:val="0"/>
                                  <w:marTop w:val="0"/>
                                  <w:marBottom w:val="0"/>
                                  <w:divBdr>
                                    <w:top w:val="none" w:sz="0" w:space="0" w:color="auto"/>
                                    <w:left w:val="none" w:sz="0" w:space="0" w:color="auto"/>
                                    <w:bottom w:val="none" w:sz="0" w:space="0" w:color="auto"/>
                                    <w:right w:val="none" w:sz="0" w:space="0" w:color="auto"/>
                                  </w:divBdr>
                                </w:div>
                                <w:div w:id="1934047875">
                                  <w:marLeft w:val="0"/>
                                  <w:marRight w:val="0"/>
                                  <w:marTop w:val="0"/>
                                  <w:marBottom w:val="0"/>
                                  <w:divBdr>
                                    <w:top w:val="none" w:sz="0" w:space="0" w:color="auto"/>
                                    <w:left w:val="none" w:sz="0" w:space="0" w:color="auto"/>
                                    <w:bottom w:val="none" w:sz="0" w:space="0" w:color="auto"/>
                                    <w:right w:val="none" w:sz="0" w:space="0" w:color="auto"/>
                                  </w:divBdr>
                                </w:div>
                                <w:div w:id="1196890554">
                                  <w:marLeft w:val="0"/>
                                  <w:marRight w:val="0"/>
                                  <w:marTop w:val="0"/>
                                  <w:marBottom w:val="0"/>
                                  <w:divBdr>
                                    <w:top w:val="none" w:sz="0" w:space="0" w:color="auto"/>
                                    <w:left w:val="none" w:sz="0" w:space="0" w:color="auto"/>
                                    <w:bottom w:val="none" w:sz="0" w:space="0" w:color="auto"/>
                                    <w:right w:val="none" w:sz="0" w:space="0" w:color="auto"/>
                                  </w:divBdr>
                                </w:div>
                                <w:div w:id="168955149">
                                  <w:marLeft w:val="0"/>
                                  <w:marRight w:val="0"/>
                                  <w:marTop w:val="0"/>
                                  <w:marBottom w:val="0"/>
                                  <w:divBdr>
                                    <w:top w:val="none" w:sz="0" w:space="0" w:color="auto"/>
                                    <w:left w:val="none" w:sz="0" w:space="0" w:color="auto"/>
                                    <w:bottom w:val="none" w:sz="0" w:space="0" w:color="auto"/>
                                    <w:right w:val="none" w:sz="0" w:space="0" w:color="auto"/>
                                  </w:divBdr>
                                </w:div>
                                <w:div w:id="1140224572">
                                  <w:marLeft w:val="0"/>
                                  <w:marRight w:val="0"/>
                                  <w:marTop w:val="0"/>
                                  <w:marBottom w:val="0"/>
                                  <w:divBdr>
                                    <w:top w:val="none" w:sz="0" w:space="0" w:color="auto"/>
                                    <w:left w:val="none" w:sz="0" w:space="0" w:color="auto"/>
                                    <w:bottom w:val="none" w:sz="0" w:space="0" w:color="auto"/>
                                    <w:right w:val="none" w:sz="0" w:space="0" w:color="auto"/>
                                  </w:divBdr>
                                </w:div>
                                <w:div w:id="3779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14448">
      <w:bodyDiv w:val="1"/>
      <w:marLeft w:val="0"/>
      <w:marRight w:val="0"/>
      <w:marTop w:val="0"/>
      <w:marBottom w:val="0"/>
      <w:divBdr>
        <w:top w:val="none" w:sz="0" w:space="0" w:color="auto"/>
        <w:left w:val="none" w:sz="0" w:space="0" w:color="auto"/>
        <w:bottom w:val="none" w:sz="0" w:space="0" w:color="auto"/>
        <w:right w:val="none" w:sz="0" w:space="0" w:color="auto"/>
      </w:divBdr>
    </w:div>
    <w:div w:id="225141955">
      <w:bodyDiv w:val="1"/>
      <w:marLeft w:val="0"/>
      <w:marRight w:val="0"/>
      <w:marTop w:val="0"/>
      <w:marBottom w:val="0"/>
      <w:divBdr>
        <w:top w:val="none" w:sz="0" w:space="0" w:color="auto"/>
        <w:left w:val="none" w:sz="0" w:space="0" w:color="auto"/>
        <w:bottom w:val="none" w:sz="0" w:space="0" w:color="auto"/>
        <w:right w:val="none" w:sz="0" w:space="0" w:color="auto"/>
      </w:divBdr>
      <w:divsChild>
        <w:div w:id="1290284142">
          <w:marLeft w:val="0"/>
          <w:marRight w:val="0"/>
          <w:marTop w:val="300"/>
          <w:marBottom w:val="0"/>
          <w:divBdr>
            <w:top w:val="none" w:sz="0" w:space="0" w:color="auto"/>
            <w:left w:val="none" w:sz="0" w:space="0" w:color="auto"/>
            <w:bottom w:val="none" w:sz="0" w:space="0" w:color="auto"/>
            <w:right w:val="none" w:sz="0" w:space="0" w:color="auto"/>
          </w:divBdr>
          <w:divsChild>
            <w:div w:id="1319771604">
              <w:marLeft w:val="0"/>
              <w:marRight w:val="0"/>
              <w:marTop w:val="0"/>
              <w:marBottom w:val="0"/>
              <w:divBdr>
                <w:top w:val="none" w:sz="0" w:space="0" w:color="auto"/>
                <w:left w:val="none" w:sz="0" w:space="0" w:color="auto"/>
                <w:bottom w:val="none" w:sz="0" w:space="0" w:color="auto"/>
                <w:right w:val="none" w:sz="0" w:space="0" w:color="auto"/>
              </w:divBdr>
              <w:divsChild>
                <w:div w:id="9394126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8721">
      <w:bodyDiv w:val="1"/>
      <w:marLeft w:val="0"/>
      <w:marRight w:val="0"/>
      <w:marTop w:val="0"/>
      <w:marBottom w:val="0"/>
      <w:divBdr>
        <w:top w:val="none" w:sz="0" w:space="0" w:color="auto"/>
        <w:left w:val="none" w:sz="0" w:space="0" w:color="auto"/>
        <w:bottom w:val="none" w:sz="0" w:space="0" w:color="auto"/>
        <w:right w:val="none" w:sz="0" w:space="0" w:color="auto"/>
      </w:divBdr>
      <w:divsChild>
        <w:div w:id="807863844">
          <w:marLeft w:val="0"/>
          <w:marRight w:val="0"/>
          <w:marTop w:val="0"/>
          <w:marBottom w:val="0"/>
          <w:divBdr>
            <w:top w:val="none" w:sz="0" w:space="0" w:color="auto"/>
            <w:left w:val="none" w:sz="0" w:space="0" w:color="auto"/>
            <w:bottom w:val="none" w:sz="0" w:space="0" w:color="auto"/>
            <w:right w:val="none" w:sz="0" w:space="0" w:color="auto"/>
          </w:divBdr>
          <w:divsChild>
            <w:div w:id="1397968312">
              <w:marLeft w:val="0"/>
              <w:marRight w:val="0"/>
              <w:marTop w:val="0"/>
              <w:marBottom w:val="0"/>
              <w:divBdr>
                <w:top w:val="none" w:sz="0" w:space="0" w:color="auto"/>
                <w:left w:val="none" w:sz="0" w:space="0" w:color="auto"/>
                <w:bottom w:val="none" w:sz="0" w:space="0" w:color="auto"/>
                <w:right w:val="none" w:sz="0" w:space="0" w:color="auto"/>
              </w:divBdr>
              <w:divsChild>
                <w:div w:id="389883465">
                  <w:marLeft w:val="0"/>
                  <w:marRight w:val="0"/>
                  <w:marTop w:val="0"/>
                  <w:marBottom w:val="0"/>
                  <w:divBdr>
                    <w:top w:val="none" w:sz="0" w:space="0" w:color="auto"/>
                    <w:left w:val="none" w:sz="0" w:space="0" w:color="auto"/>
                    <w:bottom w:val="none" w:sz="0" w:space="0" w:color="auto"/>
                    <w:right w:val="none" w:sz="0" w:space="0" w:color="auto"/>
                  </w:divBdr>
                  <w:divsChild>
                    <w:div w:id="348530985">
                      <w:marLeft w:val="0"/>
                      <w:marRight w:val="0"/>
                      <w:marTop w:val="0"/>
                      <w:marBottom w:val="0"/>
                      <w:divBdr>
                        <w:top w:val="none" w:sz="0" w:space="0" w:color="auto"/>
                        <w:left w:val="none" w:sz="0" w:space="0" w:color="auto"/>
                        <w:bottom w:val="none" w:sz="0" w:space="0" w:color="auto"/>
                        <w:right w:val="none" w:sz="0" w:space="0" w:color="auto"/>
                      </w:divBdr>
                      <w:divsChild>
                        <w:div w:id="2135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95418">
      <w:bodyDiv w:val="1"/>
      <w:marLeft w:val="0"/>
      <w:marRight w:val="0"/>
      <w:marTop w:val="0"/>
      <w:marBottom w:val="0"/>
      <w:divBdr>
        <w:top w:val="none" w:sz="0" w:space="0" w:color="auto"/>
        <w:left w:val="none" w:sz="0" w:space="0" w:color="auto"/>
        <w:bottom w:val="none" w:sz="0" w:space="0" w:color="auto"/>
        <w:right w:val="none" w:sz="0" w:space="0" w:color="auto"/>
      </w:divBdr>
    </w:div>
    <w:div w:id="300775060">
      <w:bodyDiv w:val="1"/>
      <w:marLeft w:val="0"/>
      <w:marRight w:val="0"/>
      <w:marTop w:val="0"/>
      <w:marBottom w:val="0"/>
      <w:divBdr>
        <w:top w:val="none" w:sz="0" w:space="0" w:color="auto"/>
        <w:left w:val="none" w:sz="0" w:space="0" w:color="auto"/>
        <w:bottom w:val="none" w:sz="0" w:space="0" w:color="auto"/>
        <w:right w:val="none" w:sz="0" w:space="0" w:color="auto"/>
      </w:divBdr>
    </w:div>
    <w:div w:id="304435402">
      <w:bodyDiv w:val="1"/>
      <w:marLeft w:val="0"/>
      <w:marRight w:val="0"/>
      <w:marTop w:val="0"/>
      <w:marBottom w:val="0"/>
      <w:divBdr>
        <w:top w:val="none" w:sz="0" w:space="0" w:color="auto"/>
        <w:left w:val="none" w:sz="0" w:space="0" w:color="auto"/>
        <w:bottom w:val="none" w:sz="0" w:space="0" w:color="auto"/>
        <w:right w:val="none" w:sz="0" w:space="0" w:color="auto"/>
      </w:divBdr>
    </w:div>
    <w:div w:id="341469741">
      <w:bodyDiv w:val="1"/>
      <w:marLeft w:val="0"/>
      <w:marRight w:val="0"/>
      <w:marTop w:val="0"/>
      <w:marBottom w:val="0"/>
      <w:divBdr>
        <w:top w:val="none" w:sz="0" w:space="0" w:color="auto"/>
        <w:left w:val="none" w:sz="0" w:space="0" w:color="auto"/>
        <w:bottom w:val="none" w:sz="0" w:space="0" w:color="auto"/>
        <w:right w:val="none" w:sz="0" w:space="0" w:color="auto"/>
      </w:divBdr>
    </w:div>
    <w:div w:id="362555629">
      <w:bodyDiv w:val="1"/>
      <w:marLeft w:val="0"/>
      <w:marRight w:val="0"/>
      <w:marTop w:val="0"/>
      <w:marBottom w:val="0"/>
      <w:divBdr>
        <w:top w:val="none" w:sz="0" w:space="0" w:color="auto"/>
        <w:left w:val="none" w:sz="0" w:space="0" w:color="auto"/>
        <w:bottom w:val="none" w:sz="0" w:space="0" w:color="auto"/>
        <w:right w:val="none" w:sz="0" w:space="0" w:color="auto"/>
      </w:divBdr>
    </w:div>
    <w:div w:id="421950454">
      <w:bodyDiv w:val="1"/>
      <w:marLeft w:val="0"/>
      <w:marRight w:val="0"/>
      <w:marTop w:val="0"/>
      <w:marBottom w:val="0"/>
      <w:divBdr>
        <w:top w:val="none" w:sz="0" w:space="0" w:color="auto"/>
        <w:left w:val="none" w:sz="0" w:space="0" w:color="auto"/>
        <w:bottom w:val="none" w:sz="0" w:space="0" w:color="auto"/>
        <w:right w:val="none" w:sz="0" w:space="0" w:color="auto"/>
      </w:divBdr>
      <w:divsChild>
        <w:div w:id="472915957">
          <w:marLeft w:val="0"/>
          <w:marRight w:val="0"/>
          <w:marTop w:val="0"/>
          <w:marBottom w:val="0"/>
          <w:divBdr>
            <w:top w:val="none" w:sz="0" w:space="0" w:color="auto"/>
            <w:left w:val="none" w:sz="0" w:space="0" w:color="auto"/>
            <w:bottom w:val="none" w:sz="0" w:space="0" w:color="auto"/>
            <w:right w:val="none" w:sz="0" w:space="0" w:color="auto"/>
          </w:divBdr>
          <w:divsChild>
            <w:div w:id="166135562">
              <w:marLeft w:val="0"/>
              <w:marRight w:val="0"/>
              <w:marTop w:val="0"/>
              <w:marBottom w:val="0"/>
              <w:divBdr>
                <w:top w:val="none" w:sz="0" w:space="0" w:color="auto"/>
                <w:left w:val="none" w:sz="0" w:space="0" w:color="auto"/>
                <w:bottom w:val="none" w:sz="0" w:space="0" w:color="auto"/>
                <w:right w:val="none" w:sz="0" w:space="0" w:color="auto"/>
              </w:divBdr>
              <w:divsChild>
                <w:div w:id="1271354187">
                  <w:marLeft w:val="0"/>
                  <w:marRight w:val="0"/>
                  <w:marTop w:val="150"/>
                  <w:marBottom w:val="0"/>
                  <w:divBdr>
                    <w:top w:val="none" w:sz="0" w:space="0" w:color="auto"/>
                    <w:left w:val="none" w:sz="0" w:space="0" w:color="auto"/>
                    <w:bottom w:val="none" w:sz="0" w:space="0" w:color="auto"/>
                    <w:right w:val="none" w:sz="0" w:space="0" w:color="auto"/>
                  </w:divBdr>
                  <w:divsChild>
                    <w:div w:id="1209494374">
                      <w:marLeft w:val="-150"/>
                      <w:marRight w:val="0"/>
                      <w:marTop w:val="0"/>
                      <w:marBottom w:val="0"/>
                      <w:divBdr>
                        <w:top w:val="none" w:sz="0" w:space="0" w:color="auto"/>
                        <w:left w:val="none" w:sz="0" w:space="0" w:color="auto"/>
                        <w:bottom w:val="none" w:sz="0" w:space="0" w:color="auto"/>
                        <w:right w:val="none" w:sz="0" w:space="0" w:color="auto"/>
                      </w:divBdr>
                      <w:divsChild>
                        <w:div w:id="863519949">
                          <w:marLeft w:val="0"/>
                          <w:marRight w:val="0"/>
                          <w:marTop w:val="0"/>
                          <w:marBottom w:val="0"/>
                          <w:divBdr>
                            <w:top w:val="none" w:sz="0" w:space="0" w:color="auto"/>
                            <w:left w:val="none" w:sz="0" w:space="0" w:color="auto"/>
                            <w:bottom w:val="none" w:sz="0" w:space="0" w:color="auto"/>
                            <w:right w:val="none" w:sz="0" w:space="0" w:color="auto"/>
                          </w:divBdr>
                          <w:divsChild>
                            <w:div w:id="346444437">
                              <w:marLeft w:val="0"/>
                              <w:marRight w:val="0"/>
                              <w:marTop w:val="0"/>
                              <w:marBottom w:val="0"/>
                              <w:divBdr>
                                <w:top w:val="none" w:sz="0" w:space="0" w:color="auto"/>
                                <w:left w:val="none" w:sz="0" w:space="0" w:color="auto"/>
                                <w:bottom w:val="none" w:sz="0" w:space="0" w:color="auto"/>
                                <w:right w:val="none" w:sz="0" w:space="0" w:color="auto"/>
                              </w:divBdr>
                              <w:divsChild>
                                <w:div w:id="16551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2710">
                          <w:marLeft w:val="0"/>
                          <w:marRight w:val="0"/>
                          <w:marTop w:val="0"/>
                          <w:marBottom w:val="150"/>
                          <w:divBdr>
                            <w:top w:val="none" w:sz="0" w:space="0" w:color="auto"/>
                            <w:left w:val="none" w:sz="0" w:space="0" w:color="auto"/>
                            <w:bottom w:val="none" w:sz="0" w:space="0" w:color="auto"/>
                            <w:right w:val="none" w:sz="0" w:space="0" w:color="auto"/>
                          </w:divBdr>
                          <w:divsChild>
                            <w:div w:id="1328635555">
                              <w:marLeft w:val="0"/>
                              <w:marRight w:val="0"/>
                              <w:marTop w:val="0"/>
                              <w:marBottom w:val="0"/>
                              <w:divBdr>
                                <w:top w:val="none" w:sz="0" w:space="0" w:color="auto"/>
                                <w:left w:val="none" w:sz="0" w:space="0" w:color="auto"/>
                                <w:bottom w:val="none" w:sz="0" w:space="0" w:color="auto"/>
                                <w:right w:val="none" w:sz="0" w:space="0" w:color="auto"/>
                              </w:divBdr>
                              <w:divsChild>
                                <w:div w:id="210263669">
                                  <w:marLeft w:val="-150"/>
                                  <w:marRight w:val="0"/>
                                  <w:marTop w:val="0"/>
                                  <w:marBottom w:val="0"/>
                                  <w:divBdr>
                                    <w:top w:val="none" w:sz="0" w:space="0" w:color="auto"/>
                                    <w:left w:val="none" w:sz="0" w:space="0" w:color="auto"/>
                                    <w:bottom w:val="none" w:sz="0" w:space="0" w:color="auto"/>
                                    <w:right w:val="none" w:sz="0" w:space="0" w:color="auto"/>
                                  </w:divBdr>
                                  <w:divsChild>
                                    <w:div w:id="1510409152">
                                      <w:marLeft w:val="0"/>
                                      <w:marRight w:val="0"/>
                                      <w:marTop w:val="0"/>
                                      <w:marBottom w:val="0"/>
                                      <w:divBdr>
                                        <w:top w:val="none" w:sz="0" w:space="0" w:color="auto"/>
                                        <w:left w:val="none" w:sz="0" w:space="0" w:color="auto"/>
                                        <w:bottom w:val="none" w:sz="0" w:space="0" w:color="auto"/>
                                        <w:right w:val="none" w:sz="0" w:space="0" w:color="auto"/>
                                      </w:divBdr>
                                      <w:divsChild>
                                        <w:div w:id="413942728">
                                          <w:marLeft w:val="0"/>
                                          <w:marRight w:val="0"/>
                                          <w:marTop w:val="0"/>
                                          <w:marBottom w:val="0"/>
                                          <w:divBdr>
                                            <w:top w:val="none" w:sz="0" w:space="0" w:color="auto"/>
                                            <w:left w:val="none" w:sz="0" w:space="0" w:color="auto"/>
                                            <w:bottom w:val="none" w:sz="0" w:space="0" w:color="auto"/>
                                            <w:right w:val="none" w:sz="0" w:space="0" w:color="auto"/>
                                          </w:divBdr>
                                          <w:divsChild>
                                            <w:div w:id="1324699717">
                                              <w:marLeft w:val="0"/>
                                              <w:marRight w:val="0"/>
                                              <w:marTop w:val="0"/>
                                              <w:marBottom w:val="0"/>
                                              <w:divBdr>
                                                <w:top w:val="none" w:sz="0" w:space="0" w:color="auto"/>
                                                <w:left w:val="none" w:sz="0" w:space="0" w:color="auto"/>
                                                <w:bottom w:val="none" w:sz="0" w:space="0" w:color="auto"/>
                                                <w:right w:val="none" w:sz="0" w:space="0" w:color="auto"/>
                                              </w:divBdr>
                                              <w:divsChild>
                                                <w:div w:id="3716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81">
                                      <w:marLeft w:val="0"/>
                                      <w:marRight w:val="0"/>
                                      <w:marTop w:val="0"/>
                                      <w:marBottom w:val="0"/>
                                      <w:divBdr>
                                        <w:top w:val="none" w:sz="0" w:space="0" w:color="auto"/>
                                        <w:left w:val="none" w:sz="0" w:space="0" w:color="auto"/>
                                        <w:bottom w:val="none" w:sz="0" w:space="0" w:color="auto"/>
                                        <w:right w:val="none" w:sz="0" w:space="0" w:color="auto"/>
                                      </w:divBdr>
                                      <w:divsChild>
                                        <w:div w:id="442502047">
                                          <w:marLeft w:val="0"/>
                                          <w:marRight w:val="0"/>
                                          <w:marTop w:val="0"/>
                                          <w:marBottom w:val="0"/>
                                          <w:divBdr>
                                            <w:top w:val="none" w:sz="0" w:space="0" w:color="auto"/>
                                            <w:left w:val="none" w:sz="0" w:space="0" w:color="auto"/>
                                            <w:bottom w:val="none" w:sz="0" w:space="0" w:color="auto"/>
                                            <w:right w:val="none" w:sz="0" w:space="0" w:color="auto"/>
                                          </w:divBdr>
                                          <w:divsChild>
                                            <w:div w:id="104272110">
                                              <w:marLeft w:val="0"/>
                                              <w:marRight w:val="0"/>
                                              <w:marTop w:val="0"/>
                                              <w:marBottom w:val="0"/>
                                              <w:divBdr>
                                                <w:top w:val="none" w:sz="0" w:space="0" w:color="auto"/>
                                                <w:left w:val="none" w:sz="0" w:space="0" w:color="auto"/>
                                                <w:bottom w:val="none" w:sz="0" w:space="0" w:color="auto"/>
                                                <w:right w:val="none" w:sz="0" w:space="0" w:color="auto"/>
                                              </w:divBdr>
                                              <w:divsChild>
                                                <w:div w:id="1505511533">
                                                  <w:marLeft w:val="0"/>
                                                  <w:marRight w:val="0"/>
                                                  <w:marTop w:val="30"/>
                                                  <w:marBottom w:val="0"/>
                                                  <w:divBdr>
                                                    <w:top w:val="none" w:sz="0" w:space="0" w:color="auto"/>
                                                    <w:left w:val="none" w:sz="0" w:space="0" w:color="auto"/>
                                                    <w:bottom w:val="none" w:sz="0" w:space="0" w:color="auto"/>
                                                    <w:right w:val="none" w:sz="0" w:space="0" w:color="auto"/>
                                                  </w:divBdr>
                                                </w:div>
                                                <w:div w:id="327098563">
                                                  <w:marLeft w:val="150"/>
                                                  <w:marRight w:val="0"/>
                                                  <w:marTop w:val="30"/>
                                                  <w:marBottom w:val="0"/>
                                                  <w:divBdr>
                                                    <w:top w:val="none" w:sz="0" w:space="0" w:color="auto"/>
                                                    <w:left w:val="none" w:sz="0" w:space="0" w:color="auto"/>
                                                    <w:bottom w:val="none" w:sz="0" w:space="0" w:color="auto"/>
                                                    <w:right w:val="none" w:sz="0" w:space="0" w:color="auto"/>
                                                  </w:divBdr>
                                                </w:div>
                                                <w:div w:id="1445728888">
                                                  <w:marLeft w:val="150"/>
                                                  <w:marRight w:val="0"/>
                                                  <w:marTop w:val="0"/>
                                                  <w:marBottom w:val="0"/>
                                                  <w:divBdr>
                                                    <w:top w:val="none" w:sz="0" w:space="0" w:color="auto"/>
                                                    <w:left w:val="none" w:sz="0" w:space="0" w:color="auto"/>
                                                    <w:bottom w:val="none" w:sz="0" w:space="0" w:color="auto"/>
                                                    <w:right w:val="none" w:sz="0" w:space="0" w:color="auto"/>
                                                  </w:divBdr>
                                                  <w:divsChild>
                                                    <w:div w:id="112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107882">
                          <w:marLeft w:val="0"/>
                          <w:marRight w:val="0"/>
                          <w:marTop w:val="0"/>
                          <w:marBottom w:val="0"/>
                          <w:divBdr>
                            <w:top w:val="none" w:sz="0" w:space="0" w:color="auto"/>
                            <w:left w:val="none" w:sz="0" w:space="0" w:color="auto"/>
                            <w:bottom w:val="none" w:sz="0" w:space="0" w:color="auto"/>
                            <w:right w:val="none" w:sz="0" w:space="0" w:color="auto"/>
                          </w:divBdr>
                          <w:divsChild>
                            <w:div w:id="648899263">
                              <w:marLeft w:val="0"/>
                              <w:marRight w:val="0"/>
                              <w:marTop w:val="0"/>
                              <w:marBottom w:val="0"/>
                              <w:divBdr>
                                <w:top w:val="none" w:sz="0" w:space="0" w:color="auto"/>
                                <w:left w:val="none" w:sz="0" w:space="0" w:color="auto"/>
                                <w:bottom w:val="none" w:sz="0" w:space="0" w:color="auto"/>
                                <w:right w:val="none" w:sz="0" w:space="0" w:color="auto"/>
                              </w:divBdr>
                              <w:divsChild>
                                <w:div w:id="1419523467">
                                  <w:marLeft w:val="0"/>
                                  <w:marRight w:val="0"/>
                                  <w:marTop w:val="0"/>
                                  <w:marBottom w:val="0"/>
                                  <w:divBdr>
                                    <w:top w:val="none" w:sz="0" w:space="0" w:color="auto"/>
                                    <w:left w:val="none" w:sz="0" w:space="0" w:color="auto"/>
                                    <w:bottom w:val="none" w:sz="0" w:space="0" w:color="auto"/>
                                    <w:right w:val="none" w:sz="0" w:space="0" w:color="auto"/>
                                  </w:divBdr>
                                  <w:divsChild>
                                    <w:div w:id="441653272">
                                      <w:marLeft w:val="0"/>
                                      <w:marRight w:val="0"/>
                                      <w:marTop w:val="0"/>
                                      <w:marBottom w:val="0"/>
                                      <w:divBdr>
                                        <w:top w:val="none" w:sz="0" w:space="0" w:color="auto"/>
                                        <w:left w:val="none" w:sz="0" w:space="0" w:color="auto"/>
                                        <w:bottom w:val="none" w:sz="0" w:space="0" w:color="auto"/>
                                        <w:right w:val="none" w:sz="0" w:space="0" w:color="auto"/>
                                      </w:divBdr>
                                      <w:divsChild>
                                        <w:div w:id="20450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889944">
      <w:bodyDiv w:val="1"/>
      <w:marLeft w:val="0"/>
      <w:marRight w:val="0"/>
      <w:marTop w:val="0"/>
      <w:marBottom w:val="0"/>
      <w:divBdr>
        <w:top w:val="none" w:sz="0" w:space="0" w:color="auto"/>
        <w:left w:val="none" w:sz="0" w:space="0" w:color="auto"/>
        <w:bottom w:val="none" w:sz="0" w:space="0" w:color="auto"/>
        <w:right w:val="none" w:sz="0" w:space="0" w:color="auto"/>
      </w:divBdr>
      <w:divsChild>
        <w:div w:id="107550545">
          <w:marLeft w:val="0"/>
          <w:marRight w:val="0"/>
          <w:marTop w:val="0"/>
          <w:marBottom w:val="0"/>
          <w:divBdr>
            <w:top w:val="none" w:sz="0" w:space="0" w:color="auto"/>
            <w:left w:val="none" w:sz="0" w:space="0" w:color="auto"/>
            <w:bottom w:val="none" w:sz="0" w:space="0" w:color="auto"/>
            <w:right w:val="none" w:sz="0" w:space="0" w:color="auto"/>
          </w:divBdr>
          <w:divsChild>
            <w:div w:id="646544736">
              <w:marLeft w:val="0"/>
              <w:marRight w:val="0"/>
              <w:marTop w:val="0"/>
              <w:marBottom w:val="0"/>
              <w:divBdr>
                <w:top w:val="none" w:sz="0" w:space="0" w:color="auto"/>
                <w:left w:val="none" w:sz="0" w:space="0" w:color="auto"/>
                <w:bottom w:val="none" w:sz="0" w:space="0" w:color="auto"/>
                <w:right w:val="none" w:sz="0" w:space="0" w:color="auto"/>
              </w:divBdr>
              <w:divsChild>
                <w:div w:id="149182134">
                  <w:marLeft w:val="0"/>
                  <w:marRight w:val="0"/>
                  <w:marTop w:val="0"/>
                  <w:marBottom w:val="0"/>
                  <w:divBdr>
                    <w:top w:val="none" w:sz="0" w:space="0" w:color="auto"/>
                    <w:left w:val="none" w:sz="0" w:space="0" w:color="auto"/>
                    <w:bottom w:val="none" w:sz="0" w:space="0" w:color="auto"/>
                    <w:right w:val="none" w:sz="0" w:space="0" w:color="auto"/>
                  </w:divBdr>
                  <w:divsChild>
                    <w:div w:id="1393894142">
                      <w:marLeft w:val="0"/>
                      <w:marRight w:val="0"/>
                      <w:marTop w:val="0"/>
                      <w:marBottom w:val="0"/>
                      <w:divBdr>
                        <w:top w:val="none" w:sz="0" w:space="0" w:color="auto"/>
                        <w:left w:val="none" w:sz="0" w:space="0" w:color="auto"/>
                        <w:bottom w:val="none" w:sz="0" w:space="0" w:color="auto"/>
                        <w:right w:val="none" w:sz="0" w:space="0" w:color="auto"/>
                      </w:divBdr>
                      <w:divsChild>
                        <w:div w:id="945887035">
                          <w:marLeft w:val="0"/>
                          <w:marRight w:val="0"/>
                          <w:marTop w:val="0"/>
                          <w:marBottom w:val="0"/>
                          <w:divBdr>
                            <w:top w:val="none" w:sz="0" w:space="0" w:color="auto"/>
                            <w:left w:val="none" w:sz="0" w:space="0" w:color="auto"/>
                            <w:bottom w:val="none" w:sz="0" w:space="0" w:color="auto"/>
                            <w:right w:val="none" w:sz="0" w:space="0" w:color="auto"/>
                          </w:divBdr>
                          <w:divsChild>
                            <w:div w:id="1180311549">
                              <w:marLeft w:val="0"/>
                              <w:marRight w:val="0"/>
                              <w:marTop w:val="0"/>
                              <w:marBottom w:val="0"/>
                              <w:divBdr>
                                <w:top w:val="none" w:sz="0" w:space="0" w:color="auto"/>
                                <w:left w:val="none" w:sz="0" w:space="0" w:color="auto"/>
                                <w:bottom w:val="none" w:sz="0" w:space="0" w:color="auto"/>
                                <w:right w:val="none" w:sz="0" w:space="0" w:color="auto"/>
                              </w:divBdr>
                              <w:divsChild>
                                <w:div w:id="36710957">
                                  <w:marLeft w:val="0"/>
                                  <w:marRight w:val="0"/>
                                  <w:marTop w:val="0"/>
                                  <w:marBottom w:val="0"/>
                                  <w:divBdr>
                                    <w:top w:val="none" w:sz="0" w:space="0" w:color="auto"/>
                                    <w:left w:val="none" w:sz="0" w:space="0" w:color="auto"/>
                                    <w:bottom w:val="none" w:sz="0" w:space="0" w:color="auto"/>
                                    <w:right w:val="none" w:sz="0" w:space="0" w:color="auto"/>
                                  </w:divBdr>
                                </w:div>
                                <w:div w:id="362822927">
                                  <w:marLeft w:val="0"/>
                                  <w:marRight w:val="0"/>
                                  <w:marTop w:val="0"/>
                                  <w:marBottom w:val="0"/>
                                  <w:divBdr>
                                    <w:top w:val="none" w:sz="0" w:space="0" w:color="auto"/>
                                    <w:left w:val="none" w:sz="0" w:space="0" w:color="auto"/>
                                    <w:bottom w:val="none" w:sz="0" w:space="0" w:color="auto"/>
                                    <w:right w:val="none" w:sz="0" w:space="0" w:color="auto"/>
                                  </w:divBdr>
                                </w:div>
                                <w:div w:id="83888011">
                                  <w:marLeft w:val="0"/>
                                  <w:marRight w:val="0"/>
                                  <w:marTop w:val="0"/>
                                  <w:marBottom w:val="0"/>
                                  <w:divBdr>
                                    <w:top w:val="none" w:sz="0" w:space="0" w:color="auto"/>
                                    <w:left w:val="none" w:sz="0" w:space="0" w:color="auto"/>
                                    <w:bottom w:val="none" w:sz="0" w:space="0" w:color="auto"/>
                                    <w:right w:val="none" w:sz="0" w:space="0" w:color="auto"/>
                                  </w:divBdr>
                                </w:div>
                                <w:div w:id="1472819639">
                                  <w:marLeft w:val="0"/>
                                  <w:marRight w:val="0"/>
                                  <w:marTop w:val="0"/>
                                  <w:marBottom w:val="0"/>
                                  <w:divBdr>
                                    <w:top w:val="none" w:sz="0" w:space="0" w:color="auto"/>
                                    <w:left w:val="none" w:sz="0" w:space="0" w:color="auto"/>
                                    <w:bottom w:val="none" w:sz="0" w:space="0" w:color="auto"/>
                                    <w:right w:val="none" w:sz="0" w:space="0" w:color="auto"/>
                                  </w:divBdr>
                                </w:div>
                                <w:div w:id="477303419">
                                  <w:marLeft w:val="0"/>
                                  <w:marRight w:val="0"/>
                                  <w:marTop w:val="0"/>
                                  <w:marBottom w:val="0"/>
                                  <w:divBdr>
                                    <w:top w:val="none" w:sz="0" w:space="0" w:color="auto"/>
                                    <w:left w:val="none" w:sz="0" w:space="0" w:color="auto"/>
                                    <w:bottom w:val="none" w:sz="0" w:space="0" w:color="auto"/>
                                    <w:right w:val="none" w:sz="0" w:space="0" w:color="auto"/>
                                  </w:divBdr>
                                </w:div>
                                <w:div w:id="2038653132">
                                  <w:marLeft w:val="0"/>
                                  <w:marRight w:val="0"/>
                                  <w:marTop w:val="0"/>
                                  <w:marBottom w:val="0"/>
                                  <w:divBdr>
                                    <w:top w:val="none" w:sz="0" w:space="0" w:color="auto"/>
                                    <w:left w:val="none" w:sz="0" w:space="0" w:color="auto"/>
                                    <w:bottom w:val="none" w:sz="0" w:space="0" w:color="auto"/>
                                    <w:right w:val="none" w:sz="0" w:space="0" w:color="auto"/>
                                  </w:divBdr>
                                </w:div>
                                <w:div w:id="364209638">
                                  <w:marLeft w:val="0"/>
                                  <w:marRight w:val="0"/>
                                  <w:marTop w:val="0"/>
                                  <w:marBottom w:val="0"/>
                                  <w:divBdr>
                                    <w:top w:val="none" w:sz="0" w:space="0" w:color="auto"/>
                                    <w:left w:val="none" w:sz="0" w:space="0" w:color="auto"/>
                                    <w:bottom w:val="none" w:sz="0" w:space="0" w:color="auto"/>
                                    <w:right w:val="none" w:sz="0" w:space="0" w:color="auto"/>
                                  </w:divBdr>
                                </w:div>
                                <w:div w:id="1411541045">
                                  <w:marLeft w:val="0"/>
                                  <w:marRight w:val="0"/>
                                  <w:marTop w:val="0"/>
                                  <w:marBottom w:val="0"/>
                                  <w:divBdr>
                                    <w:top w:val="none" w:sz="0" w:space="0" w:color="auto"/>
                                    <w:left w:val="none" w:sz="0" w:space="0" w:color="auto"/>
                                    <w:bottom w:val="none" w:sz="0" w:space="0" w:color="auto"/>
                                    <w:right w:val="none" w:sz="0" w:space="0" w:color="auto"/>
                                  </w:divBdr>
                                </w:div>
                                <w:div w:id="15629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322864">
      <w:bodyDiv w:val="1"/>
      <w:marLeft w:val="0"/>
      <w:marRight w:val="0"/>
      <w:marTop w:val="0"/>
      <w:marBottom w:val="0"/>
      <w:divBdr>
        <w:top w:val="none" w:sz="0" w:space="0" w:color="auto"/>
        <w:left w:val="none" w:sz="0" w:space="0" w:color="auto"/>
        <w:bottom w:val="none" w:sz="0" w:space="0" w:color="auto"/>
        <w:right w:val="none" w:sz="0" w:space="0" w:color="auto"/>
      </w:divBdr>
      <w:divsChild>
        <w:div w:id="177542406">
          <w:marLeft w:val="0"/>
          <w:marRight w:val="0"/>
          <w:marTop w:val="0"/>
          <w:marBottom w:val="0"/>
          <w:divBdr>
            <w:top w:val="none" w:sz="0" w:space="0" w:color="auto"/>
            <w:left w:val="none" w:sz="0" w:space="0" w:color="auto"/>
            <w:bottom w:val="none" w:sz="0" w:space="0" w:color="auto"/>
            <w:right w:val="none" w:sz="0" w:space="0" w:color="auto"/>
          </w:divBdr>
          <w:divsChild>
            <w:div w:id="288047299">
              <w:marLeft w:val="0"/>
              <w:marRight w:val="0"/>
              <w:marTop w:val="0"/>
              <w:marBottom w:val="0"/>
              <w:divBdr>
                <w:top w:val="none" w:sz="0" w:space="0" w:color="auto"/>
                <w:left w:val="none" w:sz="0" w:space="0" w:color="auto"/>
                <w:bottom w:val="none" w:sz="0" w:space="0" w:color="auto"/>
                <w:right w:val="none" w:sz="0" w:space="0" w:color="auto"/>
              </w:divBdr>
              <w:divsChild>
                <w:div w:id="1571697801">
                  <w:marLeft w:val="0"/>
                  <w:marRight w:val="0"/>
                  <w:marTop w:val="150"/>
                  <w:marBottom w:val="0"/>
                  <w:divBdr>
                    <w:top w:val="none" w:sz="0" w:space="0" w:color="auto"/>
                    <w:left w:val="none" w:sz="0" w:space="0" w:color="auto"/>
                    <w:bottom w:val="none" w:sz="0" w:space="0" w:color="auto"/>
                    <w:right w:val="none" w:sz="0" w:space="0" w:color="auto"/>
                  </w:divBdr>
                  <w:divsChild>
                    <w:div w:id="1775780177">
                      <w:marLeft w:val="-150"/>
                      <w:marRight w:val="0"/>
                      <w:marTop w:val="0"/>
                      <w:marBottom w:val="0"/>
                      <w:divBdr>
                        <w:top w:val="none" w:sz="0" w:space="0" w:color="auto"/>
                        <w:left w:val="none" w:sz="0" w:space="0" w:color="auto"/>
                        <w:bottom w:val="none" w:sz="0" w:space="0" w:color="auto"/>
                        <w:right w:val="none" w:sz="0" w:space="0" w:color="auto"/>
                      </w:divBdr>
                      <w:divsChild>
                        <w:div w:id="295382442">
                          <w:marLeft w:val="0"/>
                          <w:marRight w:val="0"/>
                          <w:marTop w:val="0"/>
                          <w:marBottom w:val="0"/>
                          <w:divBdr>
                            <w:top w:val="none" w:sz="0" w:space="0" w:color="auto"/>
                            <w:left w:val="none" w:sz="0" w:space="0" w:color="auto"/>
                            <w:bottom w:val="none" w:sz="0" w:space="0" w:color="auto"/>
                            <w:right w:val="none" w:sz="0" w:space="0" w:color="auto"/>
                          </w:divBdr>
                          <w:divsChild>
                            <w:div w:id="691612392">
                              <w:marLeft w:val="0"/>
                              <w:marRight w:val="0"/>
                              <w:marTop w:val="0"/>
                              <w:marBottom w:val="0"/>
                              <w:divBdr>
                                <w:top w:val="none" w:sz="0" w:space="0" w:color="auto"/>
                                <w:left w:val="none" w:sz="0" w:space="0" w:color="auto"/>
                                <w:bottom w:val="none" w:sz="0" w:space="0" w:color="auto"/>
                                <w:right w:val="none" w:sz="0" w:space="0" w:color="auto"/>
                              </w:divBdr>
                              <w:divsChild>
                                <w:div w:id="1420716544">
                                  <w:marLeft w:val="0"/>
                                  <w:marRight w:val="0"/>
                                  <w:marTop w:val="0"/>
                                  <w:marBottom w:val="0"/>
                                  <w:divBdr>
                                    <w:top w:val="none" w:sz="0" w:space="0" w:color="auto"/>
                                    <w:left w:val="none" w:sz="0" w:space="0" w:color="auto"/>
                                    <w:bottom w:val="none" w:sz="0" w:space="0" w:color="auto"/>
                                    <w:right w:val="none" w:sz="0" w:space="0" w:color="auto"/>
                                  </w:divBdr>
                                  <w:divsChild>
                                    <w:div w:id="1464497486">
                                      <w:marLeft w:val="0"/>
                                      <w:marRight w:val="0"/>
                                      <w:marTop w:val="0"/>
                                      <w:marBottom w:val="0"/>
                                      <w:divBdr>
                                        <w:top w:val="none" w:sz="0" w:space="0" w:color="auto"/>
                                        <w:left w:val="none" w:sz="0" w:space="0" w:color="auto"/>
                                        <w:bottom w:val="none" w:sz="0" w:space="0" w:color="auto"/>
                                        <w:right w:val="none" w:sz="0" w:space="0" w:color="auto"/>
                                      </w:divBdr>
                                      <w:divsChild>
                                        <w:div w:id="9310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850175">
      <w:bodyDiv w:val="1"/>
      <w:marLeft w:val="0"/>
      <w:marRight w:val="0"/>
      <w:marTop w:val="0"/>
      <w:marBottom w:val="0"/>
      <w:divBdr>
        <w:top w:val="single" w:sz="24" w:space="0" w:color="FF3300"/>
        <w:left w:val="none" w:sz="0" w:space="0" w:color="auto"/>
        <w:bottom w:val="none" w:sz="0" w:space="0" w:color="auto"/>
        <w:right w:val="none" w:sz="0" w:space="0" w:color="auto"/>
      </w:divBdr>
      <w:divsChild>
        <w:div w:id="266232730">
          <w:marLeft w:val="0"/>
          <w:marRight w:val="0"/>
          <w:marTop w:val="0"/>
          <w:marBottom w:val="180"/>
          <w:divBdr>
            <w:top w:val="none" w:sz="0" w:space="0" w:color="auto"/>
            <w:left w:val="none" w:sz="0" w:space="0" w:color="auto"/>
            <w:bottom w:val="none" w:sz="0" w:space="0" w:color="auto"/>
            <w:right w:val="none" w:sz="0" w:space="0" w:color="auto"/>
          </w:divBdr>
          <w:divsChild>
            <w:div w:id="520707613">
              <w:marLeft w:val="0"/>
              <w:marRight w:val="0"/>
              <w:marTop w:val="0"/>
              <w:marBottom w:val="0"/>
              <w:divBdr>
                <w:top w:val="none" w:sz="0" w:space="0" w:color="auto"/>
                <w:left w:val="none" w:sz="0" w:space="0" w:color="auto"/>
                <w:bottom w:val="none" w:sz="0" w:space="0" w:color="auto"/>
                <w:right w:val="none" w:sz="0" w:space="0" w:color="auto"/>
              </w:divBdr>
              <w:divsChild>
                <w:div w:id="1638677846">
                  <w:marLeft w:val="0"/>
                  <w:marRight w:val="0"/>
                  <w:marTop w:val="0"/>
                  <w:marBottom w:val="0"/>
                  <w:divBdr>
                    <w:top w:val="none" w:sz="0" w:space="0" w:color="auto"/>
                    <w:left w:val="none" w:sz="0" w:space="0" w:color="auto"/>
                    <w:bottom w:val="none" w:sz="0" w:space="0" w:color="auto"/>
                    <w:right w:val="none" w:sz="0" w:space="0" w:color="auto"/>
                  </w:divBdr>
                  <w:divsChild>
                    <w:div w:id="1911454958">
                      <w:marLeft w:val="0"/>
                      <w:marRight w:val="0"/>
                      <w:marTop w:val="0"/>
                      <w:marBottom w:val="0"/>
                      <w:divBdr>
                        <w:top w:val="none" w:sz="0" w:space="0" w:color="auto"/>
                        <w:left w:val="none" w:sz="0" w:space="0" w:color="auto"/>
                        <w:bottom w:val="none" w:sz="0" w:space="0" w:color="auto"/>
                        <w:right w:val="none" w:sz="0" w:space="0" w:color="auto"/>
                      </w:divBdr>
                      <w:divsChild>
                        <w:div w:id="8750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80969">
      <w:bodyDiv w:val="1"/>
      <w:marLeft w:val="0"/>
      <w:marRight w:val="0"/>
      <w:marTop w:val="0"/>
      <w:marBottom w:val="0"/>
      <w:divBdr>
        <w:top w:val="none" w:sz="0" w:space="0" w:color="auto"/>
        <w:left w:val="none" w:sz="0" w:space="0" w:color="auto"/>
        <w:bottom w:val="none" w:sz="0" w:space="0" w:color="auto"/>
        <w:right w:val="none" w:sz="0" w:space="0" w:color="auto"/>
      </w:divBdr>
      <w:divsChild>
        <w:div w:id="627593550">
          <w:marLeft w:val="0"/>
          <w:marRight w:val="0"/>
          <w:marTop w:val="0"/>
          <w:marBottom w:val="0"/>
          <w:divBdr>
            <w:top w:val="none" w:sz="0" w:space="0" w:color="auto"/>
            <w:left w:val="none" w:sz="0" w:space="0" w:color="auto"/>
            <w:bottom w:val="none" w:sz="0" w:space="0" w:color="auto"/>
            <w:right w:val="none" w:sz="0" w:space="0" w:color="auto"/>
          </w:divBdr>
          <w:divsChild>
            <w:div w:id="223612613">
              <w:marLeft w:val="0"/>
              <w:marRight w:val="0"/>
              <w:marTop w:val="0"/>
              <w:marBottom w:val="0"/>
              <w:divBdr>
                <w:top w:val="none" w:sz="0" w:space="0" w:color="auto"/>
                <w:left w:val="none" w:sz="0" w:space="0" w:color="auto"/>
                <w:bottom w:val="none" w:sz="0" w:space="0" w:color="auto"/>
                <w:right w:val="none" w:sz="0" w:space="0" w:color="auto"/>
              </w:divBdr>
              <w:divsChild>
                <w:div w:id="1902714686">
                  <w:marLeft w:val="0"/>
                  <w:marRight w:val="0"/>
                  <w:marTop w:val="0"/>
                  <w:marBottom w:val="0"/>
                  <w:divBdr>
                    <w:top w:val="none" w:sz="0" w:space="0" w:color="auto"/>
                    <w:left w:val="none" w:sz="0" w:space="0" w:color="auto"/>
                    <w:bottom w:val="none" w:sz="0" w:space="0" w:color="auto"/>
                    <w:right w:val="none" w:sz="0" w:space="0" w:color="auto"/>
                  </w:divBdr>
                  <w:divsChild>
                    <w:div w:id="1334332928">
                      <w:marLeft w:val="0"/>
                      <w:marRight w:val="0"/>
                      <w:marTop w:val="0"/>
                      <w:marBottom w:val="0"/>
                      <w:divBdr>
                        <w:top w:val="none" w:sz="0" w:space="0" w:color="auto"/>
                        <w:left w:val="none" w:sz="0" w:space="0" w:color="auto"/>
                        <w:bottom w:val="none" w:sz="0" w:space="0" w:color="auto"/>
                        <w:right w:val="none" w:sz="0" w:space="0" w:color="auto"/>
                      </w:divBdr>
                      <w:divsChild>
                        <w:div w:id="32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04460">
      <w:bodyDiv w:val="1"/>
      <w:marLeft w:val="0"/>
      <w:marRight w:val="0"/>
      <w:marTop w:val="0"/>
      <w:marBottom w:val="0"/>
      <w:divBdr>
        <w:top w:val="none" w:sz="0" w:space="0" w:color="auto"/>
        <w:left w:val="none" w:sz="0" w:space="0" w:color="auto"/>
        <w:bottom w:val="none" w:sz="0" w:space="0" w:color="auto"/>
        <w:right w:val="none" w:sz="0" w:space="0" w:color="auto"/>
      </w:divBdr>
      <w:divsChild>
        <w:div w:id="1813868336">
          <w:marLeft w:val="0"/>
          <w:marRight w:val="0"/>
          <w:marTop w:val="0"/>
          <w:marBottom w:val="0"/>
          <w:divBdr>
            <w:top w:val="none" w:sz="0" w:space="0" w:color="auto"/>
            <w:left w:val="none" w:sz="0" w:space="0" w:color="auto"/>
            <w:bottom w:val="none" w:sz="0" w:space="0" w:color="auto"/>
            <w:right w:val="none" w:sz="0" w:space="0" w:color="auto"/>
          </w:divBdr>
          <w:divsChild>
            <w:div w:id="1262109386">
              <w:marLeft w:val="0"/>
              <w:marRight w:val="0"/>
              <w:marTop w:val="0"/>
              <w:marBottom w:val="0"/>
              <w:divBdr>
                <w:top w:val="none" w:sz="0" w:space="0" w:color="auto"/>
                <w:left w:val="none" w:sz="0" w:space="0" w:color="auto"/>
                <w:bottom w:val="none" w:sz="0" w:space="0" w:color="auto"/>
                <w:right w:val="none" w:sz="0" w:space="0" w:color="auto"/>
              </w:divBdr>
              <w:divsChild>
                <w:div w:id="1530490202">
                  <w:marLeft w:val="0"/>
                  <w:marRight w:val="0"/>
                  <w:marTop w:val="0"/>
                  <w:marBottom w:val="0"/>
                  <w:divBdr>
                    <w:top w:val="none" w:sz="0" w:space="0" w:color="auto"/>
                    <w:left w:val="none" w:sz="0" w:space="0" w:color="auto"/>
                    <w:bottom w:val="none" w:sz="0" w:space="0" w:color="auto"/>
                    <w:right w:val="none" w:sz="0" w:space="0" w:color="auto"/>
                  </w:divBdr>
                  <w:divsChild>
                    <w:div w:id="1187714732">
                      <w:marLeft w:val="0"/>
                      <w:marRight w:val="0"/>
                      <w:marTop w:val="0"/>
                      <w:marBottom w:val="0"/>
                      <w:divBdr>
                        <w:top w:val="none" w:sz="0" w:space="0" w:color="auto"/>
                        <w:left w:val="none" w:sz="0" w:space="0" w:color="auto"/>
                        <w:bottom w:val="none" w:sz="0" w:space="0" w:color="auto"/>
                        <w:right w:val="none" w:sz="0" w:space="0" w:color="auto"/>
                      </w:divBdr>
                      <w:divsChild>
                        <w:div w:id="591281267">
                          <w:marLeft w:val="0"/>
                          <w:marRight w:val="0"/>
                          <w:marTop w:val="0"/>
                          <w:marBottom w:val="0"/>
                          <w:divBdr>
                            <w:top w:val="none" w:sz="0" w:space="0" w:color="auto"/>
                            <w:left w:val="none" w:sz="0" w:space="0" w:color="auto"/>
                            <w:bottom w:val="none" w:sz="0" w:space="0" w:color="auto"/>
                            <w:right w:val="none" w:sz="0" w:space="0" w:color="auto"/>
                          </w:divBdr>
                        </w:div>
                        <w:div w:id="472411909">
                          <w:marLeft w:val="0"/>
                          <w:marRight w:val="0"/>
                          <w:marTop w:val="0"/>
                          <w:marBottom w:val="0"/>
                          <w:divBdr>
                            <w:top w:val="none" w:sz="0" w:space="0" w:color="auto"/>
                            <w:left w:val="none" w:sz="0" w:space="0" w:color="auto"/>
                            <w:bottom w:val="none" w:sz="0" w:space="0" w:color="auto"/>
                            <w:right w:val="none" w:sz="0" w:space="0" w:color="auto"/>
                          </w:divBdr>
                          <w:divsChild>
                            <w:div w:id="156767137">
                              <w:marLeft w:val="0"/>
                              <w:marRight w:val="0"/>
                              <w:marTop w:val="0"/>
                              <w:marBottom w:val="0"/>
                              <w:divBdr>
                                <w:top w:val="none" w:sz="0" w:space="0" w:color="auto"/>
                                <w:left w:val="none" w:sz="0" w:space="0" w:color="auto"/>
                                <w:bottom w:val="none" w:sz="0" w:space="0" w:color="auto"/>
                                <w:right w:val="none" w:sz="0" w:space="0" w:color="auto"/>
                              </w:divBdr>
                              <w:divsChild>
                                <w:div w:id="5861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65164">
      <w:bodyDiv w:val="1"/>
      <w:marLeft w:val="0"/>
      <w:marRight w:val="0"/>
      <w:marTop w:val="0"/>
      <w:marBottom w:val="0"/>
      <w:divBdr>
        <w:top w:val="none" w:sz="0" w:space="0" w:color="auto"/>
        <w:left w:val="none" w:sz="0" w:space="0" w:color="auto"/>
        <w:bottom w:val="none" w:sz="0" w:space="0" w:color="auto"/>
        <w:right w:val="none" w:sz="0" w:space="0" w:color="auto"/>
      </w:divBdr>
    </w:div>
    <w:div w:id="998119858">
      <w:bodyDiv w:val="1"/>
      <w:marLeft w:val="0"/>
      <w:marRight w:val="0"/>
      <w:marTop w:val="0"/>
      <w:marBottom w:val="0"/>
      <w:divBdr>
        <w:top w:val="none" w:sz="0" w:space="0" w:color="auto"/>
        <w:left w:val="none" w:sz="0" w:space="0" w:color="auto"/>
        <w:bottom w:val="none" w:sz="0" w:space="0" w:color="auto"/>
        <w:right w:val="none" w:sz="0" w:space="0" w:color="auto"/>
      </w:divBdr>
      <w:divsChild>
        <w:div w:id="1302425936">
          <w:marLeft w:val="0"/>
          <w:marRight w:val="0"/>
          <w:marTop w:val="0"/>
          <w:marBottom w:val="0"/>
          <w:divBdr>
            <w:top w:val="none" w:sz="0" w:space="0" w:color="auto"/>
            <w:left w:val="none" w:sz="0" w:space="0" w:color="auto"/>
            <w:bottom w:val="none" w:sz="0" w:space="0" w:color="auto"/>
            <w:right w:val="none" w:sz="0" w:space="0" w:color="auto"/>
          </w:divBdr>
          <w:divsChild>
            <w:div w:id="1859191914">
              <w:marLeft w:val="0"/>
              <w:marRight w:val="0"/>
              <w:marTop w:val="0"/>
              <w:marBottom w:val="0"/>
              <w:divBdr>
                <w:top w:val="none" w:sz="0" w:space="0" w:color="auto"/>
                <w:left w:val="none" w:sz="0" w:space="0" w:color="auto"/>
                <w:bottom w:val="none" w:sz="0" w:space="0" w:color="auto"/>
                <w:right w:val="none" w:sz="0" w:space="0" w:color="auto"/>
              </w:divBdr>
              <w:divsChild>
                <w:div w:id="948244581">
                  <w:marLeft w:val="0"/>
                  <w:marRight w:val="0"/>
                  <w:marTop w:val="0"/>
                  <w:marBottom w:val="0"/>
                  <w:divBdr>
                    <w:top w:val="none" w:sz="0" w:space="0" w:color="auto"/>
                    <w:left w:val="none" w:sz="0" w:space="0" w:color="auto"/>
                    <w:bottom w:val="none" w:sz="0" w:space="0" w:color="auto"/>
                    <w:right w:val="none" w:sz="0" w:space="0" w:color="auto"/>
                  </w:divBdr>
                  <w:divsChild>
                    <w:div w:id="2019187897">
                      <w:marLeft w:val="0"/>
                      <w:marRight w:val="0"/>
                      <w:marTop w:val="0"/>
                      <w:marBottom w:val="0"/>
                      <w:divBdr>
                        <w:top w:val="none" w:sz="0" w:space="0" w:color="auto"/>
                        <w:left w:val="none" w:sz="0" w:space="0" w:color="auto"/>
                        <w:bottom w:val="none" w:sz="0" w:space="0" w:color="auto"/>
                        <w:right w:val="none" w:sz="0" w:space="0" w:color="auto"/>
                      </w:divBdr>
                      <w:divsChild>
                        <w:div w:id="873075683">
                          <w:marLeft w:val="0"/>
                          <w:marRight w:val="0"/>
                          <w:marTop w:val="0"/>
                          <w:marBottom w:val="0"/>
                          <w:divBdr>
                            <w:top w:val="none" w:sz="0" w:space="0" w:color="auto"/>
                            <w:left w:val="none" w:sz="0" w:space="0" w:color="auto"/>
                            <w:bottom w:val="none" w:sz="0" w:space="0" w:color="auto"/>
                            <w:right w:val="none" w:sz="0" w:space="0" w:color="auto"/>
                          </w:divBdr>
                          <w:divsChild>
                            <w:div w:id="13278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8578">
      <w:bodyDiv w:val="1"/>
      <w:marLeft w:val="0"/>
      <w:marRight w:val="0"/>
      <w:marTop w:val="0"/>
      <w:marBottom w:val="0"/>
      <w:divBdr>
        <w:top w:val="none" w:sz="0" w:space="0" w:color="auto"/>
        <w:left w:val="none" w:sz="0" w:space="0" w:color="auto"/>
        <w:bottom w:val="none" w:sz="0" w:space="0" w:color="auto"/>
        <w:right w:val="none" w:sz="0" w:space="0" w:color="auto"/>
      </w:divBdr>
      <w:divsChild>
        <w:div w:id="725639964">
          <w:marLeft w:val="0"/>
          <w:marRight w:val="0"/>
          <w:marTop w:val="0"/>
          <w:marBottom w:val="0"/>
          <w:divBdr>
            <w:top w:val="none" w:sz="0" w:space="0" w:color="auto"/>
            <w:left w:val="none" w:sz="0" w:space="0" w:color="auto"/>
            <w:bottom w:val="none" w:sz="0" w:space="0" w:color="auto"/>
            <w:right w:val="none" w:sz="0" w:space="0" w:color="auto"/>
          </w:divBdr>
          <w:divsChild>
            <w:div w:id="807170327">
              <w:marLeft w:val="0"/>
              <w:marRight w:val="0"/>
              <w:marTop w:val="0"/>
              <w:marBottom w:val="48"/>
              <w:divBdr>
                <w:top w:val="single" w:sz="6" w:space="0" w:color="333333"/>
                <w:left w:val="single" w:sz="6" w:space="0" w:color="333333"/>
                <w:bottom w:val="single" w:sz="6" w:space="0" w:color="333333"/>
                <w:right w:val="single" w:sz="6" w:space="0" w:color="333333"/>
              </w:divBdr>
              <w:divsChild>
                <w:div w:id="1608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764">
      <w:bodyDiv w:val="1"/>
      <w:marLeft w:val="0"/>
      <w:marRight w:val="0"/>
      <w:marTop w:val="0"/>
      <w:marBottom w:val="0"/>
      <w:divBdr>
        <w:top w:val="none" w:sz="0" w:space="0" w:color="auto"/>
        <w:left w:val="none" w:sz="0" w:space="0" w:color="auto"/>
        <w:bottom w:val="none" w:sz="0" w:space="0" w:color="auto"/>
        <w:right w:val="none" w:sz="0" w:space="0" w:color="auto"/>
      </w:divBdr>
    </w:div>
    <w:div w:id="1306936206">
      <w:bodyDiv w:val="1"/>
      <w:marLeft w:val="0"/>
      <w:marRight w:val="0"/>
      <w:marTop w:val="0"/>
      <w:marBottom w:val="0"/>
      <w:divBdr>
        <w:top w:val="none" w:sz="0" w:space="0" w:color="auto"/>
        <w:left w:val="none" w:sz="0" w:space="0" w:color="auto"/>
        <w:bottom w:val="none" w:sz="0" w:space="0" w:color="auto"/>
        <w:right w:val="none" w:sz="0" w:space="0" w:color="auto"/>
      </w:divBdr>
      <w:divsChild>
        <w:div w:id="1172254729">
          <w:marLeft w:val="0"/>
          <w:marRight w:val="0"/>
          <w:marTop w:val="0"/>
          <w:marBottom w:val="0"/>
          <w:divBdr>
            <w:top w:val="none" w:sz="0" w:space="0" w:color="auto"/>
            <w:left w:val="none" w:sz="0" w:space="0" w:color="auto"/>
            <w:bottom w:val="none" w:sz="0" w:space="0" w:color="auto"/>
            <w:right w:val="none" w:sz="0" w:space="0" w:color="auto"/>
          </w:divBdr>
          <w:divsChild>
            <w:div w:id="647780580">
              <w:marLeft w:val="0"/>
              <w:marRight w:val="0"/>
              <w:marTop w:val="0"/>
              <w:marBottom w:val="0"/>
              <w:divBdr>
                <w:top w:val="none" w:sz="0" w:space="0" w:color="auto"/>
                <w:left w:val="none" w:sz="0" w:space="0" w:color="auto"/>
                <w:bottom w:val="none" w:sz="0" w:space="0" w:color="auto"/>
                <w:right w:val="none" w:sz="0" w:space="0" w:color="auto"/>
              </w:divBdr>
              <w:divsChild>
                <w:div w:id="122358462">
                  <w:marLeft w:val="0"/>
                  <w:marRight w:val="0"/>
                  <w:marTop w:val="150"/>
                  <w:marBottom w:val="0"/>
                  <w:divBdr>
                    <w:top w:val="none" w:sz="0" w:space="0" w:color="auto"/>
                    <w:left w:val="none" w:sz="0" w:space="0" w:color="auto"/>
                    <w:bottom w:val="none" w:sz="0" w:space="0" w:color="auto"/>
                    <w:right w:val="none" w:sz="0" w:space="0" w:color="auto"/>
                  </w:divBdr>
                  <w:divsChild>
                    <w:div w:id="12726489">
                      <w:marLeft w:val="-150"/>
                      <w:marRight w:val="0"/>
                      <w:marTop w:val="0"/>
                      <w:marBottom w:val="0"/>
                      <w:divBdr>
                        <w:top w:val="none" w:sz="0" w:space="0" w:color="auto"/>
                        <w:left w:val="none" w:sz="0" w:space="0" w:color="auto"/>
                        <w:bottom w:val="none" w:sz="0" w:space="0" w:color="auto"/>
                        <w:right w:val="none" w:sz="0" w:space="0" w:color="auto"/>
                      </w:divBdr>
                      <w:divsChild>
                        <w:div w:id="153376083">
                          <w:marLeft w:val="0"/>
                          <w:marRight w:val="0"/>
                          <w:marTop w:val="0"/>
                          <w:marBottom w:val="0"/>
                          <w:divBdr>
                            <w:top w:val="none" w:sz="0" w:space="0" w:color="auto"/>
                            <w:left w:val="none" w:sz="0" w:space="0" w:color="auto"/>
                            <w:bottom w:val="none" w:sz="0" w:space="0" w:color="auto"/>
                            <w:right w:val="none" w:sz="0" w:space="0" w:color="auto"/>
                          </w:divBdr>
                          <w:divsChild>
                            <w:div w:id="1349599757">
                              <w:marLeft w:val="0"/>
                              <w:marRight w:val="0"/>
                              <w:marTop w:val="0"/>
                              <w:marBottom w:val="0"/>
                              <w:divBdr>
                                <w:top w:val="none" w:sz="0" w:space="0" w:color="auto"/>
                                <w:left w:val="none" w:sz="0" w:space="0" w:color="auto"/>
                                <w:bottom w:val="none" w:sz="0" w:space="0" w:color="auto"/>
                                <w:right w:val="none" w:sz="0" w:space="0" w:color="auto"/>
                              </w:divBdr>
                              <w:divsChild>
                                <w:div w:id="1837575367">
                                  <w:marLeft w:val="0"/>
                                  <w:marRight w:val="0"/>
                                  <w:marTop w:val="0"/>
                                  <w:marBottom w:val="0"/>
                                  <w:divBdr>
                                    <w:top w:val="none" w:sz="0" w:space="0" w:color="auto"/>
                                    <w:left w:val="none" w:sz="0" w:space="0" w:color="auto"/>
                                    <w:bottom w:val="none" w:sz="0" w:space="0" w:color="auto"/>
                                    <w:right w:val="none" w:sz="0" w:space="0" w:color="auto"/>
                                  </w:divBdr>
                                  <w:divsChild>
                                    <w:div w:id="17673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117488">
      <w:bodyDiv w:val="1"/>
      <w:marLeft w:val="0"/>
      <w:marRight w:val="0"/>
      <w:marTop w:val="0"/>
      <w:marBottom w:val="0"/>
      <w:divBdr>
        <w:top w:val="none" w:sz="0" w:space="0" w:color="auto"/>
        <w:left w:val="none" w:sz="0" w:space="0" w:color="auto"/>
        <w:bottom w:val="none" w:sz="0" w:space="0" w:color="auto"/>
        <w:right w:val="none" w:sz="0" w:space="0" w:color="auto"/>
      </w:divBdr>
      <w:divsChild>
        <w:div w:id="1193880451">
          <w:marLeft w:val="0"/>
          <w:marRight w:val="0"/>
          <w:marTop w:val="0"/>
          <w:marBottom w:val="0"/>
          <w:divBdr>
            <w:top w:val="none" w:sz="0" w:space="0" w:color="auto"/>
            <w:left w:val="none" w:sz="0" w:space="0" w:color="auto"/>
            <w:bottom w:val="none" w:sz="0" w:space="0" w:color="auto"/>
            <w:right w:val="none" w:sz="0" w:space="0" w:color="auto"/>
          </w:divBdr>
          <w:divsChild>
            <w:div w:id="1468669405">
              <w:marLeft w:val="0"/>
              <w:marRight w:val="0"/>
              <w:marTop w:val="0"/>
              <w:marBottom w:val="0"/>
              <w:divBdr>
                <w:top w:val="none" w:sz="0" w:space="0" w:color="auto"/>
                <w:left w:val="none" w:sz="0" w:space="0" w:color="auto"/>
                <w:bottom w:val="none" w:sz="0" w:space="0" w:color="auto"/>
                <w:right w:val="none" w:sz="0" w:space="0" w:color="auto"/>
              </w:divBdr>
              <w:divsChild>
                <w:div w:id="1751803346">
                  <w:marLeft w:val="0"/>
                  <w:marRight w:val="0"/>
                  <w:marTop w:val="0"/>
                  <w:marBottom w:val="0"/>
                  <w:divBdr>
                    <w:top w:val="none" w:sz="0" w:space="0" w:color="auto"/>
                    <w:left w:val="none" w:sz="0" w:space="0" w:color="auto"/>
                    <w:bottom w:val="none" w:sz="0" w:space="0" w:color="auto"/>
                    <w:right w:val="none" w:sz="0" w:space="0" w:color="auto"/>
                  </w:divBdr>
                  <w:divsChild>
                    <w:div w:id="452863815">
                      <w:marLeft w:val="0"/>
                      <w:marRight w:val="0"/>
                      <w:marTop w:val="0"/>
                      <w:marBottom w:val="0"/>
                      <w:divBdr>
                        <w:top w:val="none" w:sz="0" w:space="0" w:color="auto"/>
                        <w:left w:val="none" w:sz="0" w:space="0" w:color="auto"/>
                        <w:bottom w:val="none" w:sz="0" w:space="0" w:color="auto"/>
                        <w:right w:val="none" w:sz="0" w:space="0" w:color="auto"/>
                      </w:divBdr>
                      <w:divsChild>
                        <w:div w:id="725448860">
                          <w:marLeft w:val="0"/>
                          <w:marRight w:val="0"/>
                          <w:marTop w:val="0"/>
                          <w:marBottom w:val="0"/>
                          <w:divBdr>
                            <w:top w:val="none" w:sz="0" w:space="0" w:color="auto"/>
                            <w:left w:val="none" w:sz="0" w:space="0" w:color="auto"/>
                            <w:bottom w:val="none" w:sz="0" w:space="0" w:color="auto"/>
                            <w:right w:val="none" w:sz="0" w:space="0" w:color="auto"/>
                          </w:divBdr>
                          <w:divsChild>
                            <w:div w:id="156774024">
                              <w:marLeft w:val="0"/>
                              <w:marRight w:val="0"/>
                              <w:marTop w:val="0"/>
                              <w:marBottom w:val="0"/>
                              <w:divBdr>
                                <w:top w:val="none" w:sz="0" w:space="0" w:color="auto"/>
                                <w:left w:val="none" w:sz="0" w:space="0" w:color="auto"/>
                                <w:bottom w:val="none" w:sz="0" w:space="0" w:color="auto"/>
                                <w:right w:val="none" w:sz="0" w:space="0" w:color="auto"/>
                              </w:divBdr>
                              <w:divsChild>
                                <w:div w:id="1006787616">
                                  <w:marLeft w:val="0"/>
                                  <w:marRight w:val="0"/>
                                  <w:marTop w:val="0"/>
                                  <w:marBottom w:val="0"/>
                                  <w:divBdr>
                                    <w:top w:val="none" w:sz="0" w:space="0" w:color="auto"/>
                                    <w:left w:val="none" w:sz="0" w:space="0" w:color="auto"/>
                                    <w:bottom w:val="none" w:sz="0" w:space="0" w:color="auto"/>
                                    <w:right w:val="none" w:sz="0" w:space="0" w:color="auto"/>
                                  </w:divBdr>
                                </w:div>
                                <w:div w:id="1457216085">
                                  <w:marLeft w:val="0"/>
                                  <w:marRight w:val="0"/>
                                  <w:marTop w:val="0"/>
                                  <w:marBottom w:val="0"/>
                                  <w:divBdr>
                                    <w:top w:val="none" w:sz="0" w:space="0" w:color="auto"/>
                                    <w:left w:val="none" w:sz="0" w:space="0" w:color="auto"/>
                                    <w:bottom w:val="none" w:sz="0" w:space="0" w:color="auto"/>
                                    <w:right w:val="none" w:sz="0" w:space="0" w:color="auto"/>
                                  </w:divBdr>
                                </w:div>
                                <w:div w:id="424499495">
                                  <w:marLeft w:val="0"/>
                                  <w:marRight w:val="0"/>
                                  <w:marTop w:val="0"/>
                                  <w:marBottom w:val="0"/>
                                  <w:divBdr>
                                    <w:top w:val="none" w:sz="0" w:space="0" w:color="auto"/>
                                    <w:left w:val="none" w:sz="0" w:space="0" w:color="auto"/>
                                    <w:bottom w:val="none" w:sz="0" w:space="0" w:color="auto"/>
                                    <w:right w:val="none" w:sz="0" w:space="0" w:color="auto"/>
                                  </w:divBdr>
                                </w:div>
                                <w:div w:id="1160585419">
                                  <w:marLeft w:val="0"/>
                                  <w:marRight w:val="0"/>
                                  <w:marTop w:val="0"/>
                                  <w:marBottom w:val="0"/>
                                  <w:divBdr>
                                    <w:top w:val="none" w:sz="0" w:space="0" w:color="auto"/>
                                    <w:left w:val="none" w:sz="0" w:space="0" w:color="auto"/>
                                    <w:bottom w:val="none" w:sz="0" w:space="0" w:color="auto"/>
                                    <w:right w:val="none" w:sz="0" w:space="0" w:color="auto"/>
                                  </w:divBdr>
                                </w:div>
                                <w:div w:id="628977714">
                                  <w:marLeft w:val="0"/>
                                  <w:marRight w:val="0"/>
                                  <w:marTop w:val="0"/>
                                  <w:marBottom w:val="0"/>
                                  <w:divBdr>
                                    <w:top w:val="none" w:sz="0" w:space="0" w:color="auto"/>
                                    <w:left w:val="none" w:sz="0" w:space="0" w:color="auto"/>
                                    <w:bottom w:val="none" w:sz="0" w:space="0" w:color="auto"/>
                                    <w:right w:val="none" w:sz="0" w:space="0" w:color="auto"/>
                                  </w:divBdr>
                                </w:div>
                                <w:div w:id="1221012360">
                                  <w:marLeft w:val="0"/>
                                  <w:marRight w:val="0"/>
                                  <w:marTop w:val="0"/>
                                  <w:marBottom w:val="0"/>
                                  <w:divBdr>
                                    <w:top w:val="none" w:sz="0" w:space="0" w:color="auto"/>
                                    <w:left w:val="none" w:sz="0" w:space="0" w:color="auto"/>
                                    <w:bottom w:val="none" w:sz="0" w:space="0" w:color="auto"/>
                                    <w:right w:val="none" w:sz="0" w:space="0" w:color="auto"/>
                                  </w:divBdr>
                                </w:div>
                                <w:div w:id="252400001">
                                  <w:marLeft w:val="0"/>
                                  <w:marRight w:val="0"/>
                                  <w:marTop w:val="0"/>
                                  <w:marBottom w:val="0"/>
                                  <w:divBdr>
                                    <w:top w:val="none" w:sz="0" w:space="0" w:color="auto"/>
                                    <w:left w:val="none" w:sz="0" w:space="0" w:color="auto"/>
                                    <w:bottom w:val="none" w:sz="0" w:space="0" w:color="auto"/>
                                    <w:right w:val="none" w:sz="0" w:space="0" w:color="auto"/>
                                  </w:divBdr>
                                </w:div>
                                <w:div w:id="1800565548">
                                  <w:marLeft w:val="0"/>
                                  <w:marRight w:val="0"/>
                                  <w:marTop w:val="0"/>
                                  <w:marBottom w:val="0"/>
                                  <w:divBdr>
                                    <w:top w:val="none" w:sz="0" w:space="0" w:color="auto"/>
                                    <w:left w:val="none" w:sz="0" w:space="0" w:color="auto"/>
                                    <w:bottom w:val="none" w:sz="0" w:space="0" w:color="auto"/>
                                    <w:right w:val="none" w:sz="0" w:space="0" w:color="auto"/>
                                  </w:divBdr>
                                </w:div>
                                <w:div w:id="3102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49709">
      <w:bodyDiv w:val="1"/>
      <w:marLeft w:val="0"/>
      <w:marRight w:val="0"/>
      <w:marTop w:val="0"/>
      <w:marBottom w:val="0"/>
      <w:divBdr>
        <w:top w:val="none" w:sz="0" w:space="0" w:color="auto"/>
        <w:left w:val="none" w:sz="0" w:space="0" w:color="auto"/>
        <w:bottom w:val="none" w:sz="0" w:space="0" w:color="auto"/>
        <w:right w:val="none" w:sz="0" w:space="0" w:color="auto"/>
      </w:divBdr>
      <w:divsChild>
        <w:div w:id="1163620639">
          <w:marLeft w:val="0"/>
          <w:marRight w:val="0"/>
          <w:marTop w:val="0"/>
          <w:marBottom w:val="0"/>
          <w:divBdr>
            <w:top w:val="none" w:sz="0" w:space="0" w:color="auto"/>
            <w:left w:val="none" w:sz="0" w:space="0" w:color="auto"/>
            <w:bottom w:val="none" w:sz="0" w:space="0" w:color="auto"/>
            <w:right w:val="none" w:sz="0" w:space="0" w:color="auto"/>
          </w:divBdr>
          <w:divsChild>
            <w:div w:id="696001053">
              <w:marLeft w:val="0"/>
              <w:marRight w:val="0"/>
              <w:marTop w:val="0"/>
              <w:marBottom w:val="0"/>
              <w:divBdr>
                <w:top w:val="none" w:sz="0" w:space="0" w:color="auto"/>
                <w:left w:val="none" w:sz="0" w:space="0" w:color="auto"/>
                <w:bottom w:val="none" w:sz="0" w:space="0" w:color="auto"/>
                <w:right w:val="none" w:sz="0" w:space="0" w:color="auto"/>
              </w:divBdr>
              <w:divsChild>
                <w:div w:id="229310819">
                  <w:marLeft w:val="0"/>
                  <w:marRight w:val="0"/>
                  <w:marTop w:val="0"/>
                  <w:marBottom w:val="0"/>
                  <w:divBdr>
                    <w:top w:val="none" w:sz="0" w:space="0" w:color="auto"/>
                    <w:left w:val="none" w:sz="0" w:space="0" w:color="auto"/>
                    <w:bottom w:val="none" w:sz="0" w:space="0" w:color="auto"/>
                    <w:right w:val="none" w:sz="0" w:space="0" w:color="auto"/>
                  </w:divBdr>
                  <w:divsChild>
                    <w:div w:id="1748501935">
                      <w:marLeft w:val="0"/>
                      <w:marRight w:val="0"/>
                      <w:marTop w:val="0"/>
                      <w:marBottom w:val="0"/>
                      <w:divBdr>
                        <w:top w:val="none" w:sz="0" w:space="0" w:color="auto"/>
                        <w:left w:val="none" w:sz="0" w:space="0" w:color="auto"/>
                        <w:bottom w:val="none" w:sz="0" w:space="0" w:color="auto"/>
                        <w:right w:val="none" w:sz="0" w:space="0" w:color="auto"/>
                      </w:divBdr>
                      <w:divsChild>
                        <w:div w:id="1942833920">
                          <w:marLeft w:val="0"/>
                          <w:marRight w:val="0"/>
                          <w:marTop w:val="0"/>
                          <w:marBottom w:val="0"/>
                          <w:divBdr>
                            <w:top w:val="none" w:sz="0" w:space="0" w:color="auto"/>
                            <w:left w:val="none" w:sz="0" w:space="0" w:color="auto"/>
                            <w:bottom w:val="none" w:sz="0" w:space="0" w:color="auto"/>
                            <w:right w:val="none" w:sz="0" w:space="0" w:color="auto"/>
                          </w:divBdr>
                          <w:divsChild>
                            <w:div w:id="470100754">
                              <w:marLeft w:val="0"/>
                              <w:marRight w:val="0"/>
                              <w:marTop w:val="0"/>
                              <w:marBottom w:val="0"/>
                              <w:divBdr>
                                <w:top w:val="none" w:sz="0" w:space="0" w:color="auto"/>
                                <w:left w:val="none" w:sz="0" w:space="0" w:color="auto"/>
                                <w:bottom w:val="none" w:sz="0" w:space="0" w:color="auto"/>
                                <w:right w:val="none" w:sz="0" w:space="0" w:color="auto"/>
                              </w:divBdr>
                              <w:divsChild>
                                <w:div w:id="1230648191">
                                  <w:marLeft w:val="0"/>
                                  <w:marRight w:val="0"/>
                                  <w:marTop w:val="0"/>
                                  <w:marBottom w:val="0"/>
                                  <w:divBdr>
                                    <w:top w:val="none" w:sz="0" w:space="0" w:color="auto"/>
                                    <w:left w:val="none" w:sz="0" w:space="0" w:color="auto"/>
                                    <w:bottom w:val="none" w:sz="0" w:space="0" w:color="auto"/>
                                    <w:right w:val="none" w:sz="0" w:space="0" w:color="auto"/>
                                  </w:divBdr>
                                </w:div>
                                <w:div w:id="488905838">
                                  <w:marLeft w:val="0"/>
                                  <w:marRight w:val="0"/>
                                  <w:marTop w:val="0"/>
                                  <w:marBottom w:val="0"/>
                                  <w:divBdr>
                                    <w:top w:val="none" w:sz="0" w:space="0" w:color="auto"/>
                                    <w:left w:val="none" w:sz="0" w:space="0" w:color="auto"/>
                                    <w:bottom w:val="none" w:sz="0" w:space="0" w:color="auto"/>
                                    <w:right w:val="none" w:sz="0" w:space="0" w:color="auto"/>
                                  </w:divBdr>
                                </w:div>
                                <w:div w:id="9272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04834">
      <w:bodyDiv w:val="1"/>
      <w:marLeft w:val="0"/>
      <w:marRight w:val="0"/>
      <w:marTop w:val="0"/>
      <w:marBottom w:val="0"/>
      <w:divBdr>
        <w:top w:val="none" w:sz="0" w:space="0" w:color="auto"/>
        <w:left w:val="none" w:sz="0" w:space="0" w:color="auto"/>
        <w:bottom w:val="none" w:sz="0" w:space="0" w:color="auto"/>
        <w:right w:val="none" w:sz="0" w:space="0" w:color="auto"/>
      </w:divBdr>
      <w:divsChild>
        <w:div w:id="1906137613">
          <w:marLeft w:val="0"/>
          <w:marRight w:val="0"/>
          <w:marTop w:val="0"/>
          <w:marBottom w:val="0"/>
          <w:divBdr>
            <w:top w:val="none" w:sz="0" w:space="0" w:color="auto"/>
            <w:left w:val="none" w:sz="0" w:space="0" w:color="auto"/>
            <w:bottom w:val="none" w:sz="0" w:space="0" w:color="auto"/>
            <w:right w:val="none" w:sz="0" w:space="0" w:color="auto"/>
          </w:divBdr>
          <w:divsChild>
            <w:div w:id="203908032">
              <w:marLeft w:val="0"/>
              <w:marRight w:val="0"/>
              <w:marTop w:val="0"/>
              <w:marBottom w:val="0"/>
              <w:divBdr>
                <w:top w:val="none" w:sz="0" w:space="0" w:color="auto"/>
                <w:left w:val="none" w:sz="0" w:space="0" w:color="auto"/>
                <w:bottom w:val="none" w:sz="0" w:space="0" w:color="auto"/>
                <w:right w:val="none" w:sz="0" w:space="0" w:color="auto"/>
              </w:divBdr>
              <w:divsChild>
                <w:div w:id="60059593">
                  <w:marLeft w:val="0"/>
                  <w:marRight w:val="0"/>
                  <w:marTop w:val="0"/>
                  <w:marBottom w:val="0"/>
                  <w:divBdr>
                    <w:top w:val="none" w:sz="0" w:space="0" w:color="auto"/>
                    <w:left w:val="none" w:sz="0" w:space="0" w:color="auto"/>
                    <w:bottom w:val="none" w:sz="0" w:space="0" w:color="auto"/>
                    <w:right w:val="none" w:sz="0" w:space="0" w:color="auto"/>
                  </w:divBdr>
                  <w:divsChild>
                    <w:div w:id="1650356292">
                      <w:marLeft w:val="0"/>
                      <w:marRight w:val="0"/>
                      <w:marTop w:val="0"/>
                      <w:marBottom w:val="0"/>
                      <w:divBdr>
                        <w:top w:val="none" w:sz="0" w:space="0" w:color="auto"/>
                        <w:left w:val="none" w:sz="0" w:space="0" w:color="auto"/>
                        <w:bottom w:val="none" w:sz="0" w:space="0" w:color="auto"/>
                        <w:right w:val="none" w:sz="0" w:space="0" w:color="auto"/>
                      </w:divBdr>
                      <w:divsChild>
                        <w:div w:id="2398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04032">
      <w:bodyDiv w:val="1"/>
      <w:marLeft w:val="0"/>
      <w:marRight w:val="0"/>
      <w:marTop w:val="0"/>
      <w:marBottom w:val="0"/>
      <w:divBdr>
        <w:top w:val="none" w:sz="0" w:space="0" w:color="auto"/>
        <w:left w:val="none" w:sz="0" w:space="0" w:color="auto"/>
        <w:bottom w:val="none" w:sz="0" w:space="0" w:color="auto"/>
        <w:right w:val="none" w:sz="0" w:space="0" w:color="auto"/>
      </w:divBdr>
      <w:divsChild>
        <w:div w:id="1506440766">
          <w:marLeft w:val="0"/>
          <w:marRight w:val="0"/>
          <w:marTop w:val="0"/>
          <w:marBottom w:val="0"/>
          <w:divBdr>
            <w:top w:val="none" w:sz="0" w:space="0" w:color="auto"/>
            <w:left w:val="none" w:sz="0" w:space="0" w:color="auto"/>
            <w:bottom w:val="none" w:sz="0" w:space="0" w:color="auto"/>
            <w:right w:val="none" w:sz="0" w:space="0" w:color="auto"/>
          </w:divBdr>
          <w:divsChild>
            <w:div w:id="1640958372">
              <w:marLeft w:val="0"/>
              <w:marRight w:val="0"/>
              <w:marTop w:val="0"/>
              <w:marBottom w:val="0"/>
              <w:divBdr>
                <w:top w:val="none" w:sz="0" w:space="0" w:color="auto"/>
                <w:left w:val="none" w:sz="0" w:space="0" w:color="auto"/>
                <w:bottom w:val="none" w:sz="0" w:space="0" w:color="auto"/>
                <w:right w:val="none" w:sz="0" w:space="0" w:color="auto"/>
              </w:divBdr>
              <w:divsChild>
                <w:div w:id="980622641">
                  <w:marLeft w:val="0"/>
                  <w:marRight w:val="0"/>
                  <w:marTop w:val="0"/>
                  <w:marBottom w:val="0"/>
                  <w:divBdr>
                    <w:top w:val="none" w:sz="0" w:space="0" w:color="auto"/>
                    <w:left w:val="none" w:sz="0" w:space="0" w:color="auto"/>
                    <w:bottom w:val="none" w:sz="0" w:space="0" w:color="auto"/>
                    <w:right w:val="none" w:sz="0" w:space="0" w:color="auto"/>
                  </w:divBdr>
                  <w:divsChild>
                    <w:div w:id="584844026">
                      <w:marLeft w:val="0"/>
                      <w:marRight w:val="0"/>
                      <w:marTop w:val="0"/>
                      <w:marBottom w:val="0"/>
                      <w:divBdr>
                        <w:top w:val="none" w:sz="0" w:space="0" w:color="auto"/>
                        <w:left w:val="none" w:sz="0" w:space="0" w:color="auto"/>
                        <w:bottom w:val="none" w:sz="0" w:space="0" w:color="auto"/>
                        <w:right w:val="none" w:sz="0" w:space="0" w:color="auto"/>
                      </w:divBdr>
                      <w:divsChild>
                        <w:div w:id="2141877244">
                          <w:marLeft w:val="0"/>
                          <w:marRight w:val="0"/>
                          <w:marTop w:val="0"/>
                          <w:marBottom w:val="0"/>
                          <w:divBdr>
                            <w:top w:val="none" w:sz="0" w:space="0" w:color="auto"/>
                            <w:left w:val="none" w:sz="0" w:space="0" w:color="auto"/>
                            <w:bottom w:val="none" w:sz="0" w:space="0" w:color="auto"/>
                            <w:right w:val="none" w:sz="0" w:space="0" w:color="auto"/>
                          </w:divBdr>
                          <w:divsChild>
                            <w:div w:id="1366294701">
                              <w:marLeft w:val="0"/>
                              <w:marRight w:val="0"/>
                              <w:marTop w:val="0"/>
                              <w:marBottom w:val="0"/>
                              <w:divBdr>
                                <w:top w:val="none" w:sz="0" w:space="0" w:color="auto"/>
                                <w:left w:val="none" w:sz="0" w:space="0" w:color="auto"/>
                                <w:bottom w:val="none" w:sz="0" w:space="0" w:color="auto"/>
                                <w:right w:val="none" w:sz="0" w:space="0" w:color="auto"/>
                              </w:divBdr>
                              <w:divsChild>
                                <w:div w:id="1048839986">
                                  <w:marLeft w:val="0"/>
                                  <w:marRight w:val="0"/>
                                  <w:marTop w:val="0"/>
                                  <w:marBottom w:val="0"/>
                                  <w:divBdr>
                                    <w:top w:val="none" w:sz="0" w:space="0" w:color="auto"/>
                                    <w:left w:val="none" w:sz="0" w:space="0" w:color="auto"/>
                                    <w:bottom w:val="none" w:sz="0" w:space="0" w:color="auto"/>
                                    <w:right w:val="none" w:sz="0" w:space="0" w:color="auto"/>
                                  </w:divBdr>
                                </w:div>
                                <w:div w:id="542449911">
                                  <w:marLeft w:val="0"/>
                                  <w:marRight w:val="0"/>
                                  <w:marTop w:val="0"/>
                                  <w:marBottom w:val="0"/>
                                  <w:divBdr>
                                    <w:top w:val="none" w:sz="0" w:space="0" w:color="auto"/>
                                    <w:left w:val="none" w:sz="0" w:space="0" w:color="auto"/>
                                    <w:bottom w:val="none" w:sz="0" w:space="0" w:color="auto"/>
                                    <w:right w:val="none" w:sz="0" w:space="0" w:color="auto"/>
                                  </w:divBdr>
                                </w:div>
                                <w:div w:id="751437390">
                                  <w:marLeft w:val="0"/>
                                  <w:marRight w:val="0"/>
                                  <w:marTop w:val="0"/>
                                  <w:marBottom w:val="0"/>
                                  <w:divBdr>
                                    <w:top w:val="none" w:sz="0" w:space="0" w:color="auto"/>
                                    <w:left w:val="none" w:sz="0" w:space="0" w:color="auto"/>
                                    <w:bottom w:val="none" w:sz="0" w:space="0" w:color="auto"/>
                                    <w:right w:val="none" w:sz="0" w:space="0" w:color="auto"/>
                                  </w:divBdr>
                                </w:div>
                                <w:div w:id="1739477372">
                                  <w:marLeft w:val="0"/>
                                  <w:marRight w:val="0"/>
                                  <w:marTop w:val="0"/>
                                  <w:marBottom w:val="0"/>
                                  <w:divBdr>
                                    <w:top w:val="none" w:sz="0" w:space="0" w:color="auto"/>
                                    <w:left w:val="none" w:sz="0" w:space="0" w:color="auto"/>
                                    <w:bottom w:val="none" w:sz="0" w:space="0" w:color="auto"/>
                                    <w:right w:val="none" w:sz="0" w:space="0" w:color="auto"/>
                                  </w:divBdr>
                                </w:div>
                                <w:div w:id="259800806">
                                  <w:marLeft w:val="0"/>
                                  <w:marRight w:val="0"/>
                                  <w:marTop w:val="0"/>
                                  <w:marBottom w:val="0"/>
                                  <w:divBdr>
                                    <w:top w:val="none" w:sz="0" w:space="0" w:color="auto"/>
                                    <w:left w:val="none" w:sz="0" w:space="0" w:color="auto"/>
                                    <w:bottom w:val="none" w:sz="0" w:space="0" w:color="auto"/>
                                    <w:right w:val="none" w:sz="0" w:space="0" w:color="auto"/>
                                  </w:divBdr>
                                </w:div>
                                <w:div w:id="3038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515627">
      <w:bodyDiv w:val="1"/>
      <w:marLeft w:val="0"/>
      <w:marRight w:val="0"/>
      <w:marTop w:val="0"/>
      <w:marBottom w:val="0"/>
      <w:divBdr>
        <w:top w:val="none" w:sz="0" w:space="0" w:color="auto"/>
        <w:left w:val="none" w:sz="0" w:space="0" w:color="auto"/>
        <w:bottom w:val="none" w:sz="0" w:space="0" w:color="auto"/>
        <w:right w:val="none" w:sz="0" w:space="0" w:color="auto"/>
      </w:divBdr>
      <w:divsChild>
        <w:div w:id="1468350674">
          <w:marLeft w:val="0"/>
          <w:marRight w:val="0"/>
          <w:marTop w:val="0"/>
          <w:marBottom w:val="0"/>
          <w:divBdr>
            <w:top w:val="none" w:sz="0" w:space="0" w:color="auto"/>
            <w:left w:val="none" w:sz="0" w:space="0" w:color="auto"/>
            <w:bottom w:val="none" w:sz="0" w:space="0" w:color="auto"/>
            <w:right w:val="none" w:sz="0" w:space="0" w:color="auto"/>
          </w:divBdr>
          <w:divsChild>
            <w:div w:id="1647472393">
              <w:marLeft w:val="0"/>
              <w:marRight w:val="0"/>
              <w:marTop w:val="0"/>
              <w:marBottom w:val="0"/>
              <w:divBdr>
                <w:top w:val="none" w:sz="0" w:space="0" w:color="auto"/>
                <w:left w:val="none" w:sz="0" w:space="0" w:color="auto"/>
                <w:bottom w:val="none" w:sz="0" w:space="0" w:color="auto"/>
                <w:right w:val="none" w:sz="0" w:space="0" w:color="auto"/>
              </w:divBdr>
              <w:divsChild>
                <w:div w:id="1233655772">
                  <w:marLeft w:val="0"/>
                  <w:marRight w:val="0"/>
                  <w:marTop w:val="0"/>
                  <w:marBottom w:val="0"/>
                  <w:divBdr>
                    <w:top w:val="none" w:sz="0" w:space="0" w:color="auto"/>
                    <w:left w:val="none" w:sz="0" w:space="0" w:color="auto"/>
                    <w:bottom w:val="none" w:sz="0" w:space="0" w:color="auto"/>
                    <w:right w:val="none" w:sz="0" w:space="0" w:color="auto"/>
                  </w:divBdr>
                  <w:divsChild>
                    <w:div w:id="1046297262">
                      <w:marLeft w:val="0"/>
                      <w:marRight w:val="0"/>
                      <w:marTop w:val="0"/>
                      <w:marBottom w:val="0"/>
                      <w:divBdr>
                        <w:top w:val="none" w:sz="0" w:space="0" w:color="auto"/>
                        <w:left w:val="none" w:sz="0" w:space="0" w:color="auto"/>
                        <w:bottom w:val="none" w:sz="0" w:space="0" w:color="auto"/>
                        <w:right w:val="none" w:sz="0" w:space="0" w:color="auto"/>
                      </w:divBdr>
                      <w:divsChild>
                        <w:div w:id="1417819892">
                          <w:marLeft w:val="0"/>
                          <w:marRight w:val="0"/>
                          <w:marTop w:val="0"/>
                          <w:marBottom w:val="0"/>
                          <w:divBdr>
                            <w:top w:val="none" w:sz="0" w:space="0" w:color="auto"/>
                            <w:left w:val="none" w:sz="0" w:space="0" w:color="auto"/>
                            <w:bottom w:val="none" w:sz="0" w:space="0" w:color="auto"/>
                            <w:right w:val="none" w:sz="0" w:space="0" w:color="auto"/>
                          </w:divBdr>
                          <w:divsChild>
                            <w:div w:id="924194770">
                              <w:marLeft w:val="0"/>
                              <w:marRight w:val="0"/>
                              <w:marTop w:val="0"/>
                              <w:marBottom w:val="0"/>
                              <w:divBdr>
                                <w:top w:val="none" w:sz="0" w:space="0" w:color="auto"/>
                                <w:left w:val="none" w:sz="0" w:space="0" w:color="auto"/>
                                <w:bottom w:val="none" w:sz="0" w:space="0" w:color="auto"/>
                                <w:right w:val="none" w:sz="0" w:space="0" w:color="auto"/>
                              </w:divBdr>
                              <w:divsChild>
                                <w:div w:id="1285968347">
                                  <w:marLeft w:val="0"/>
                                  <w:marRight w:val="0"/>
                                  <w:marTop w:val="0"/>
                                  <w:marBottom w:val="0"/>
                                  <w:divBdr>
                                    <w:top w:val="none" w:sz="0" w:space="0" w:color="auto"/>
                                    <w:left w:val="none" w:sz="0" w:space="0" w:color="auto"/>
                                    <w:bottom w:val="none" w:sz="0" w:space="0" w:color="auto"/>
                                    <w:right w:val="none" w:sz="0" w:space="0" w:color="auto"/>
                                  </w:divBdr>
                                </w:div>
                                <w:div w:id="1897935843">
                                  <w:marLeft w:val="0"/>
                                  <w:marRight w:val="0"/>
                                  <w:marTop w:val="0"/>
                                  <w:marBottom w:val="0"/>
                                  <w:divBdr>
                                    <w:top w:val="none" w:sz="0" w:space="0" w:color="auto"/>
                                    <w:left w:val="none" w:sz="0" w:space="0" w:color="auto"/>
                                    <w:bottom w:val="none" w:sz="0" w:space="0" w:color="auto"/>
                                    <w:right w:val="none" w:sz="0" w:space="0" w:color="auto"/>
                                  </w:divBdr>
                                </w:div>
                                <w:div w:id="6346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263974">
      <w:bodyDiv w:val="1"/>
      <w:marLeft w:val="0"/>
      <w:marRight w:val="0"/>
      <w:marTop w:val="0"/>
      <w:marBottom w:val="0"/>
      <w:divBdr>
        <w:top w:val="single" w:sz="24" w:space="0" w:color="FF3300"/>
        <w:left w:val="none" w:sz="0" w:space="0" w:color="auto"/>
        <w:bottom w:val="none" w:sz="0" w:space="0" w:color="auto"/>
        <w:right w:val="none" w:sz="0" w:space="0" w:color="auto"/>
      </w:divBdr>
      <w:divsChild>
        <w:div w:id="1392388488">
          <w:marLeft w:val="0"/>
          <w:marRight w:val="0"/>
          <w:marTop w:val="0"/>
          <w:marBottom w:val="180"/>
          <w:divBdr>
            <w:top w:val="none" w:sz="0" w:space="0" w:color="auto"/>
            <w:left w:val="none" w:sz="0" w:space="0" w:color="auto"/>
            <w:bottom w:val="none" w:sz="0" w:space="0" w:color="auto"/>
            <w:right w:val="none" w:sz="0" w:space="0" w:color="auto"/>
          </w:divBdr>
          <w:divsChild>
            <w:div w:id="2144956803">
              <w:marLeft w:val="0"/>
              <w:marRight w:val="0"/>
              <w:marTop w:val="0"/>
              <w:marBottom w:val="0"/>
              <w:divBdr>
                <w:top w:val="none" w:sz="0" w:space="0" w:color="auto"/>
                <w:left w:val="none" w:sz="0" w:space="0" w:color="auto"/>
                <w:bottom w:val="none" w:sz="0" w:space="0" w:color="auto"/>
                <w:right w:val="none" w:sz="0" w:space="0" w:color="auto"/>
              </w:divBdr>
              <w:divsChild>
                <w:div w:id="1089620804">
                  <w:marLeft w:val="0"/>
                  <w:marRight w:val="0"/>
                  <w:marTop w:val="0"/>
                  <w:marBottom w:val="0"/>
                  <w:divBdr>
                    <w:top w:val="none" w:sz="0" w:space="0" w:color="auto"/>
                    <w:left w:val="none" w:sz="0" w:space="0" w:color="auto"/>
                    <w:bottom w:val="none" w:sz="0" w:space="0" w:color="auto"/>
                    <w:right w:val="none" w:sz="0" w:space="0" w:color="auto"/>
                  </w:divBdr>
                  <w:divsChild>
                    <w:div w:id="78408012">
                      <w:marLeft w:val="0"/>
                      <w:marRight w:val="0"/>
                      <w:marTop w:val="0"/>
                      <w:marBottom w:val="0"/>
                      <w:divBdr>
                        <w:top w:val="none" w:sz="0" w:space="0" w:color="auto"/>
                        <w:left w:val="none" w:sz="0" w:space="0" w:color="auto"/>
                        <w:bottom w:val="none" w:sz="0" w:space="0" w:color="auto"/>
                        <w:right w:val="none" w:sz="0" w:space="0" w:color="auto"/>
                      </w:divBdr>
                      <w:divsChild>
                        <w:div w:id="12241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07146">
      <w:bodyDiv w:val="1"/>
      <w:marLeft w:val="0"/>
      <w:marRight w:val="0"/>
      <w:marTop w:val="0"/>
      <w:marBottom w:val="0"/>
      <w:divBdr>
        <w:top w:val="none" w:sz="0" w:space="0" w:color="auto"/>
        <w:left w:val="none" w:sz="0" w:space="0" w:color="auto"/>
        <w:bottom w:val="none" w:sz="0" w:space="0" w:color="auto"/>
        <w:right w:val="none" w:sz="0" w:space="0" w:color="auto"/>
      </w:divBdr>
      <w:divsChild>
        <w:div w:id="860555941">
          <w:marLeft w:val="0"/>
          <w:marRight w:val="0"/>
          <w:marTop w:val="0"/>
          <w:marBottom w:val="0"/>
          <w:divBdr>
            <w:top w:val="none" w:sz="0" w:space="0" w:color="auto"/>
            <w:left w:val="none" w:sz="0" w:space="0" w:color="auto"/>
            <w:bottom w:val="none" w:sz="0" w:space="0" w:color="auto"/>
            <w:right w:val="none" w:sz="0" w:space="0" w:color="auto"/>
          </w:divBdr>
          <w:divsChild>
            <w:div w:id="1323511269">
              <w:marLeft w:val="0"/>
              <w:marRight w:val="0"/>
              <w:marTop w:val="0"/>
              <w:marBottom w:val="0"/>
              <w:divBdr>
                <w:top w:val="none" w:sz="0" w:space="0" w:color="auto"/>
                <w:left w:val="none" w:sz="0" w:space="0" w:color="auto"/>
                <w:bottom w:val="none" w:sz="0" w:space="0" w:color="auto"/>
                <w:right w:val="none" w:sz="0" w:space="0" w:color="auto"/>
              </w:divBdr>
              <w:divsChild>
                <w:div w:id="1682048463">
                  <w:marLeft w:val="0"/>
                  <w:marRight w:val="0"/>
                  <w:marTop w:val="0"/>
                  <w:marBottom w:val="0"/>
                  <w:divBdr>
                    <w:top w:val="none" w:sz="0" w:space="0" w:color="auto"/>
                    <w:left w:val="none" w:sz="0" w:space="0" w:color="auto"/>
                    <w:bottom w:val="none" w:sz="0" w:space="0" w:color="auto"/>
                    <w:right w:val="none" w:sz="0" w:space="0" w:color="auto"/>
                  </w:divBdr>
                  <w:divsChild>
                    <w:div w:id="655885502">
                      <w:marLeft w:val="0"/>
                      <w:marRight w:val="0"/>
                      <w:marTop w:val="0"/>
                      <w:marBottom w:val="0"/>
                      <w:divBdr>
                        <w:top w:val="none" w:sz="0" w:space="0" w:color="auto"/>
                        <w:left w:val="none" w:sz="0" w:space="0" w:color="auto"/>
                        <w:bottom w:val="none" w:sz="0" w:space="0" w:color="auto"/>
                        <w:right w:val="none" w:sz="0" w:space="0" w:color="auto"/>
                      </w:divBdr>
                      <w:divsChild>
                        <w:div w:id="1728067672">
                          <w:marLeft w:val="0"/>
                          <w:marRight w:val="0"/>
                          <w:marTop w:val="0"/>
                          <w:marBottom w:val="0"/>
                          <w:divBdr>
                            <w:top w:val="none" w:sz="0" w:space="0" w:color="auto"/>
                            <w:left w:val="none" w:sz="0" w:space="0" w:color="auto"/>
                            <w:bottom w:val="none" w:sz="0" w:space="0" w:color="auto"/>
                            <w:right w:val="none" w:sz="0" w:space="0" w:color="auto"/>
                          </w:divBdr>
                          <w:divsChild>
                            <w:div w:id="7761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5781">
      <w:bodyDiv w:val="1"/>
      <w:marLeft w:val="0"/>
      <w:marRight w:val="0"/>
      <w:marTop w:val="0"/>
      <w:marBottom w:val="0"/>
      <w:divBdr>
        <w:top w:val="none" w:sz="0" w:space="0" w:color="auto"/>
        <w:left w:val="none" w:sz="0" w:space="0" w:color="auto"/>
        <w:bottom w:val="none" w:sz="0" w:space="0" w:color="auto"/>
        <w:right w:val="none" w:sz="0" w:space="0" w:color="auto"/>
      </w:divBdr>
    </w:div>
    <w:div w:id="1555652733">
      <w:bodyDiv w:val="1"/>
      <w:marLeft w:val="0"/>
      <w:marRight w:val="0"/>
      <w:marTop w:val="0"/>
      <w:marBottom w:val="0"/>
      <w:divBdr>
        <w:top w:val="none" w:sz="0" w:space="0" w:color="auto"/>
        <w:left w:val="none" w:sz="0" w:space="0" w:color="auto"/>
        <w:bottom w:val="none" w:sz="0" w:space="0" w:color="auto"/>
        <w:right w:val="none" w:sz="0" w:space="0" w:color="auto"/>
      </w:divBdr>
    </w:div>
    <w:div w:id="1565067274">
      <w:bodyDiv w:val="1"/>
      <w:marLeft w:val="0"/>
      <w:marRight w:val="0"/>
      <w:marTop w:val="0"/>
      <w:marBottom w:val="0"/>
      <w:divBdr>
        <w:top w:val="none" w:sz="0" w:space="0" w:color="auto"/>
        <w:left w:val="none" w:sz="0" w:space="0" w:color="auto"/>
        <w:bottom w:val="none" w:sz="0" w:space="0" w:color="auto"/>
        <w:right w:val="none" w:sz="0" w:space="0" w:color="auto"/>
      </w:divBdr>
      <w:divsChild>
        <w:div w:id="1084496456">
          <w:marLeft w:val="0"/>
          <w:marRight w:val="0"/>
          <w:marTop w:val="480"/>
          <w:marBottom w:val="480"/>
          <w:divBdr>
            <w:top w:val="none" w:sz="0" w:space="0" w:color="auto"/>
            <w:left w:val="none" w:sz="0" w:space="0" w:color="auto"/>
            <w:bottom w:val="none" w:sz="0" w:space="0" w:color="auto"/>
            <w:right w:val="none" w:sz="0" w:space="0" w:color="auto"/>
          </w:divBdr>
          <w:divsChild>
            <w:div w:id="355009504">
              <w:marLeft w:val="0"/>
              <w:marRight w:val="0"/>
              <w:marTop w:val="0"/>
              <w:marBottom w:val="0"/>
              <w:divBdr>
                <w:top w:val="none" w:sz="0" w:space="0" w:color="auto"/>
                <w:left w:val="none" w:sz="0" w:space="0" w:color="auto"/>
                <w:bottom w:val="none" w:sz="0" w:space="0" w:color="auto"/>
                <w:right w:val="none" w:sz="0" w:space="0" w:color="auto"/>
              </w:divBdr>
              <w:divsChild>
                <w:div w:id="1069888996">
                  <w:marLeft w:val="0"/>
                  <w:marRight w:val="-26"/>
                  <w:marTop w:val="0"/>
                  <w:marBottom w:val="0"/>
                  <w:divBdr>
                    <w:top w:val="none" w:sz="0" w:space="0" w:color="auto"/>
                    <w:left w:val="none" w:sz="0" w:space="0" w:color="auto"/>
                    <w:bottom w:val="none" w:sz="0" w:space="0" w:color="auto"/>
                    <w:right w:val="none" w:sz="0" w:space="0" w:color="auto"/>
                  </w:divBdr>
                  <w:divsChild>
                    <w:div w:id="1571504197">
                      <w:marLeft w:val="7"/>
                      <w:marRight w:val="34"/>
                      <w:marTop w:val="0"/>
                      <w:marBottom w:val="0"/>
                      <w:divBdr>
                        <w:top w:val="none" w:sz="0" w:space="0" w:color="auto"/>
                        <w:left w:val="none" w:sz="0" w:space="0" w:color="auto"/>
                        <w:bottom w:val="none" w:sz="0" w:space="0" w:color="auto"/>
                        <w:right w:val="none" w:sz="0" w:space="0" w:color="auto"/>
                      </w:divBdr>
                      <w:divsChild>
                        <w:div w:id="1458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11649">
      <w:bodyDiv w:val="1"/>
      <w:marLeft w:val="0"/>
      <w:marRight w:val="0"/>
      <w:marTop w:val="0"/>
      <w:marBottom w:val="0"/>
      <w:divBdr>
        <w:top w:val="none" w:sz="0" w:space="0" w:color="auto"/>
        <w:left w:val="none" w:sz="0" w:space="0" w:color="auto"/>
        <w:bottom w:val="none" w:sz="0" w:space="0" w:color="auto"/>
        <w:right w:val="none" w:sz="0" w:space="0" w:color="auto"/>
      </w:divBdr>
      <w:divsChild>
        <w:div w:id="1202668644">
          <w:marLeft w:val="0"/>
          <w:marRight w:val="0"/>
          <w:marTop w:val="300"/>
          <w:marBottom w:val="0"/>
          <w:divBdr>
            <w:top w:val="none" w:sz="0" w:space="0" w:color="auto"/>
            <w:left w:val="none" w:sz="0" w:space="0" w:color="auto"/>
            <w:bottom w:val="none" w:sz="0" w:space="0" w:color="auto"/>
            <w:right w:val="none" w:sz="0" w:space="0" w:color="auto"/>
          </w:divBdr>
          <w:divsChild>
            <w:div w:id="2092702140">
              <w:marLeft w:val="0"/>
              <w:marRight w:val="0"/>
              <w:marTop w:val="0"/>
              <w:marBottom w:val="0"/>
              <w:divBdr>
                <w:top w:val="none" w:sz="0" w:space="0" w:color="auto"/>
                <w:left w:val="none" w:sz="0" w:space="0" w:color="auto"/>
                <w:bottom w:val="none" w:sz="0" w:space="0" w:color="auto"/>
                <w:right w:val="none" w:sz="0" w:space="0" w:color="auto"/>
              </w:divBdr>
              <w:divsChild>
                <w:div w:id="18839824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2656">
      <w:bodyDiv w:val="1"/>
      <w:marLeft w:val="0"/>
      <w:marRight w:val="0"/>
      <w:marTop w:val="0"/>
      <w:marBottom w:val="0"/>
      <w:divBdr>
        <w:top w:val="none" w:sz="0" w:space="0" w:color="auto"/>
        <w:left w:val="none" w:sz="0" w:space="0" w:color="auto"/>
        <w:bottom w:val="none" w:sz="0" w:space="0" w:color="auto"/>
        <w:right w:val="none" w:sz="0" w:space="0" w:color="auto"/>
      </w:divBdr>
      <w:divsChild>
        <w:div w:id="2068333221">
          <w:marLeft w:val="0"/>
          <w:marRight w:val="0"/>
          <w:marTop w:val="0"/>
          <w:marBottom w:val="0"/>
          <w:divBdr>
            <w:top w:val="none" w:sz="0" w:space="0" w:color="auto"/>
            <w:left w:val="none" w:sz="0" w:space="0" w:color="auto"/>
            <w:bottom w:val="none" w:sz="0" w:space="0" w:color="auto"/>
            <w:right w:val="none" w:sz="0" w:space="0" w:color="auto"/>
          </w:divBdr>
          <w:divsChild>
            <w:div w:id="1852259829">
              <w:marLeft w:val="0"/>
              <w:marRight w:val="0"/>
              <w:marTop w:val="0"/>
              <w:marBottom w:val="0"/>
              <w:divBdr>
                <w:top w:val="none" w:sz="0" w:space="0" w:color="auto"/>
                <w:left w:val="none" w:sz="0" w:space="0" w:color="auto"/>
                <w:bottom w:val="none" w:sz="0" w:space="0" w:color="auto"/>
                <w:right w:val="none" w:sz="0" w:space="0" w:color="auto"/>
              </w:divBdr>
              <w:divsChild>
                <w:div w:id="1375810056">
                  <w:marLeft w:val="0"/>
                  <w:marRight w:val="0"/>
                  <w:marTop w:val="150"/>
                  <w:marBottom w:val="0"/>
                  <w:divBdr>
                    <w:top w:val="none" w:sz="0" w:space="0" w:color="auto"/>
                    <w:left w:val="none" w:sz="0" w:space="0" w:color="auto"/>
                    <w:bottom w:val="none" w:sz="0" w:space="0" w:color="auto"/>
                    <w:right w:val="none" w:sz="0" w:space="0" w:color="auto"/>
                  </w:divBdr>
                  <w:divsChild>
                    <w:div w:id="839003742">
                      <w:marLeft w:val="-150"/>
                      <w:marRight w:val="0"/>
                      <w:marTop w:val="0"/>
                      <w:marBottom w:val="0"/>
                      <w:divBdr>
                        <w:top w:val="none" w:sz="0" w:space="0" w:color="auto"/>
                        <w:left w:val="none" w:sz="0" w:space="0" w:color="auto"/>
                        <w:bottom w:val="none" w:sz="0" w:space="0" w:color="auto"/>
                        <w:right w:val="none" w:sz="0" w:space="0" w:color="auto"/>
                      </w:divBdr>
                      <w:divsChild>
                        <w:div w:id="8878703">
                          <w:marLeft w:val="0"/>
                          <w:marRight w:val="0"/>
                          <w:marTop w:val="0"/>
                          <w:marBottom w:val="0"/>
                          <w:divBdr>
                            <w:top w:val="none" w:sz="0" w:space="0" w:color="auto"/>
                            <w:left w:val="none" w:sz="0" w:space="0" w:color="auto"/>
                            <w:bottom w:val="none" w:sz="0" w:space="0" w:color="auto"/>
                            <w:right w:val="none" w:sz="0" w:space="0" w:color="auto"/>
                          </w:divBdr>
                          <w:divsChild>
                            <w:div w:id="2132939707">
                              <w:marLeft w:val="0"/>
                              <w:marRight w:val="0"/>
                              <w:marTop w:val="0"/>
                              <w:marBottom w:val="0"/>
                              <w:divBdr>
                                <w:top w:val="none" w:sz="0" w:space="0" w:color="auto"/>
                                <w:left w:val="none" w:sz="0" w:space="0" w:color="auto"/>
                                <w:bottom w:val="none" w:sz="0" w:space="0" w:color="auto"/>
                                <w:right w:val="none" w:sz="0" w:space="0" w:color="auto"/>
                              </w:divBdr>
                              <w:divsChild>
                                <w:div w:id="303388441">
                                  <w:marLeft w:val="0"/>
                                  <w:marRight w:val="0"/>
                                  <w:marTop w:val="0"/>
                                  <w:marBottom w:val="0"/>
                                  <w:divBdr>
                                    <w:top w:val="none" w:sz="0" w:space="0" w:color="auto"/>
                                    <w:left w:val="none" w:sz="0" w:space="0" w:color="auto"/>
                                    <w:bottom w:val="none" w:sz="0" w:space="0" w:color="auto"/>
                                    <w:right w:val="none" w:sz="0" w:space="0" w:color="auto"/>
                                  </w:divBdr>
                                  <w:divsChild>
                                    <w:div w:id="1338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215434">
      <w:bodyDiv w:val="1"/>
      <w:marLeft w:val="0"/>
      <w:marRight w:val="0"/>
      <w:marTop w:val="0"/>
      <w:marBottom w:val="0"/>
      <w:divBdr>
        <w:top w:val="none" w:sz="0" w:space="0" w:color="auto"/>
        <w:left w:val="none" w:sz="0" w:space="0" w:color="auto"/>
        <w:bottom w:val="none" w:sz="0" w:space="0" w:color="auto"/>
        <w:right w:val="none" w:sz="0" w:space="0" w:color="auto"/>
      </w:divBdr>
      <w:divsChild>
        <w:div w:id="1908804011">
          <w:marLeft w:val="0"/>
          <w:marRight w:val="0"/>
          <w:marTop w:val="300"/>
          <w:marBottom w:val="0"/>
          <w:divBdr>
            <w:top w:val="none" w:sz="0" w:space="0" w:color="auto"/>
            <w:left w:val="none" w:sz="0" w:space="0" w:color="auto"/>
            <w:bottom w:val="none" w:sz="0" w:space="0" w:color="auto"/>
            <w:right w:val="none" w:sz="0" w:space="0" w:color="auto"/>
          </w:divBdr>
          <w:divsChild>
            <w:div w:id="1625379588">
              <w:marLeft w:val="0"/>
              <w:marRight w:val="0"/>
              <w:marTop w:val="0"/>
              <w:marBottom w:val="0"/>
              <w:divBdr>
                <w:top w:val="none" w:sz="0" w:space="0" w:color="auto"/>
                <w:left w:val="none" w:sz="0" w:space="0" w:color="auto"/>
                <w:bottom w:val="none" w:sz="0" w:space="0" w:color="auto"/>
                <w:right w:val="none" w:sz="0" w:space="0" w:color="auto"/>
              </w:divBdr>
              <w:divsChild>
                <w:div w:id="14061422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5879">
      <w:bodyDiv w:val="1"/>
      <w:marLeft w:val="0"/>
      <w:marRight w:val="0"/>
      <w:marTop w:val="0"/>
      <w:marBottom w:val="0"/>
      <w:divBdr>
        <w:top w:val="none" w:sz="0" w:space="0" w:color="auto"/>
        <w:left w:val="none" w:sz="0" w:space="0" w:color="auto"/>
        <w:bottom w:val="none" w:sz="0" w:space="0" w:color="auto"/>
        <w:right w:val="none" w:sz="0" w:space="0" w:color="auto"/>
      </w:divBdr>
      <w:divsChild>
        <w:div w:id="1182738127">
          <w:marLeft w:val="0"/>
          <w:marRight w:val="0"/>
          <w:marTop w:val="100"/>
          <w:marBottom w:val="0"/>
          <w:divBdr>
            <w:top w:val="none" w:sz="0" w:space="0" w:color="auto"/>
            <w:left w:val="none" w:sz="0" w:space="0" w:color="auto"/>
            <w:bottom w:val="none" w:sz="0" w:space="0" w:color="auto"/>
            <w:right w:val="none" w:sz="0" w:space="0" w:color="auto"/>
          </w:divBdr>
          <w:divsChild>
            <w:div w:id="1640114401">
              <w:marLeft w:val="0"/>
              <w:marRight w:val="0"/>
              <w:marTop w:val="0"/>
              <w:marBottom w:val="0"/>
              <w:divBdr>
                <w:top w:val="none" w:sz="0" w:space="0" w:color="auto"/>
                <w:left w:val="none" w:sz="0" w:space="0" w:color="auto"/>
                <w:bottom w:val="none" w:sz="0" w:space="0" w:color="auto"/>
                <w:right w:val="none" w:sz="0" w:space="0" w:color="auto"/>
              </w:divBdr>
              <w:divsChild>
                <w:div w:id="1247109006">
                  <w:marLeft w:val="0"/>
                  <w:marRight w:val="0"/>
                  <w:marTop w:val="0"/>
                  <w:marBottom w:val="0"/>
                  <w:divBdr>
                    <w:top w:val="none" w:sz="0" w:space="0" w:color="auto"/>
                    <w:left w:val="none" w:sz="0" w:space="0" w:color="auto"/>
                    <w:bottom w:val="none" w:sz="0" w:space="0" w:color="auto"/>
                    <w:right w:val="none" w:sz="0" w:space="0" w:color="auto"/>
                  </w:divBdr>
                  <w:divsChild>
                    <w:div w:id="2029985776">
                      <w:marLeft w:val="0"/>
                      <w:marRight w:val="0"/>
                      <w:marTop w:val="0"/>
                      <w:marBottom w:val="0"/>
                      <w:divBdr>
                        <w:top w:val="single" w:sz="2" w:space="0" w:color="113355"/>
                        <w:left w:val="single" w:sz="6" w:space="0" w:color="113355"/>
                        <w:bottom w:val="single" w:sz="6" w:space="0" w:color="113355"/>
                        <w:right w:val="single" w:sz="6" w:space="0" w:color="113355"/>
                      </w:divBdr>
                      <w:divsChild>
                        <w:div w:id="851604221">
                          <w:marLeft w:val="-240"/>
                          <w:marRight w:val="0"/>
                          <w:marTop w:val="0"/>
                          <w:marBottom w:val="0"/>
                          <w:divBdr>
                            <w:top w:val="none" w:sz="0" w:space="0" w:color="auto"/>
                            <w:left w:val="single" w:sz="6" w:space="8" w:color="000000"/>
                            <w:bottom w:val="none" w:sz="0" w:space="0" w:color="auto"/>
                            <w:right w:val="none" w:sz="0" w:space="0" w:color="auto"/>
                          </w:divBdr>
                        </w:div>
                      </w:divsChild>
                    </w:div>
                  </w:divsChild>
                </w:div>
              </w:divsChild>
            </w:div>
          </w:divsChild>
        </w:div>
      </w:divsChild>
    </w:div>
    <w:div w:id="1659847191">
      <w:bodyDiv w:val="1"/>
      <w:marLeft w:val="0"/>
      <w:marRight w:val="0"/>
      <w:marTop w:val="0"/>
      <w:marBottom w:val="0"/>
      <w:divBdr>
        <w:top w:val="none" w:sz="0" w:space="0" w:color="auto"/>
        <w:left w:val="none" w:sz="0" w:space="0" w:color="auto"/>
        <w:bottom w:val="none" w:sz="0" w:space="0" w:color="auto"/>
        <w:right w:val="none" w:sz="0" w:space="0" w:color="auto"/>
      </w:divBdr>
    </w:div>
    <w:div w:id="1666858590">
      <w:bodyDiv w:val="1"/>
      <w:marLeft w:val="0"/>
      <w:marRight w:val="0"/>
      <w:marTop w:val="0"/>
      <w:marBottom w:val="0"/>
      <w:divBdr>
        <w:top w:val="none" w:sz="0" w:space="0" w:color="auto"/>
        <w:left w:val="none" w:sz="0" w:space="0" w:color="auto"/>
        <w:bottom w:val="none" w:sz="0" w:space="0" w:color="auto"/>
        <w:right w:val="none" w:sz="0" w:space="0" w:color="auto"/>
      </w:divBdr>
      <w:divsChild>
        <w:div w:id="557936590">
          <w:marLeft w:val="0"/>
          <w:marRight w:val="0"/>
          <w:marTop w:val="0"/>
          <w:marBottom w:val="0"/>
          <w:divBdr>
            <w:top w:val="none" w:sz="0" w:space="0" w:color="auto"/>
            <w:left w:val="none" w:sz="0" w:space="0" w:color="auto"/>
            <w:bottom w:val="none" w:sz="0" w:space="0" w:color="auto"/>
            <w:right w:val="none" w:sz="0" w:space="0" w:color="auto"/>
          </w:divBdr>
          <w:divsChild>
            <w:div w:id="79327811">
              <w:marLeft w:val="0"/>
              <w:marRight w:val="0"/>
              <w:marTop w:val="0"/>
              <w:marBottom w:val="0"/>
              <w:divBdr>
                <w:top w:val="none" w:sz="0" w:space="0" w:color="auto"/>
                <w:left w:val="none" w:sz="0" w:space="0" w:color="auto"/>
                <w:bottom w:val="none" w:sz="0" w:space="0" w:color="auto"/>
                <w:right w:val="none" w:sz="0" w:space="0" w:color="auto"/>
              </w:divBdr>
              <w:divsChild>
                <w:div w:id="701326890">
                  <w:marLeft w:val="0"/>
                  <w:marRight w:val="0"/>
                  <w:marTop w:val="0"/>
                  <w:marBottom w:val="0"/>
                  <w:divBdr>
                    <w:top w:val="none" w:sz="0" w:space="0" w:color="auto"/>
                    <w:left w:val="none" w:sz="0" w:space="0" w:color="auto"/>
                    <w:bottom w:val="none" w:sz="0" w:space="0" w:color="auto"/>
                    <w:right w:val="none" w:sz="0" w:space="0" w:color="auto"/>
                  </w:divBdr>
                  <w:divsChild>
                    <w:div w:id="1207334851">
                      <w:marLeft w:val="0"/>
                      <w:marRight w:val="0"/>
                      <w:marTop w:val="0"/>
                      <w:marBottom w:val="0"/>
                      <w:divBdr>
                        <w:top w:val="none" w:sz="0" w:space="0" w:color="auto"/>
                        <w:left w:val="none" w:sz="0" w:space="0" w:color="auto"/>
                        <w:bottom w:val="none" w:sz="0" w:space="0" w:color="auto"/>
                        <w:right w:val="none" w:sz="0" w:space="0" w:color="auto"/>
                      </w:divBdr>
                      <w:divsChild>
                        <w:div w:id="1969049914">
                          <w:marLeft w:val="0"/>
                          <w:marRight w:val="0"/>
                          <w:marTop w:val="0"/>
                          <w:marBottom w:val="0"/>
                          <w:divBdr>
                            <w:top w:val="none" w:sz="0" w:space="0" w:color="auto"/>
                            <w:left w:val="none" w:sz="0" w:space="0" w:color="auto"/>
                            <w:bottom w:val="none" w:sz="0" w:space="0" w:color="auto"/>
                            <w:right w:val="none" w:sz="0" w:space="0" w:color="auto"/>
                          </w:divBdr>
                          <w:divsChild>
                            <w:div w:id="20620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7107">
      <w:bodyDiv w:val="1"/>
      <w:marLeft w:val="0"/>
      <w:marRight w:val="0"/>
      <w:marTop w:val="0"/>
      <w:marBottom w:val="0"/>
      <w:divBdr>
        <w:top w:val="none" w:sz="0" w:space="0" w:color="auto"/>
        <w:left w:val="none" w:sz="0" w:space="0" w:color="auto"/>
        <w:bottom w:val="none" w:sz="0" w:space="0" w:color="auto"/>
        <w:right w:val="none" w:sz="0" w:space="0" w:color="auto"/>
      </w:divBdr>
    </w:div>
    <w:div w:id="1752314836">
      <w:bodyDiv w:val="1"/>
      <w:marLeft w:val="0"/>
      <w:marRight w:val="0"/>
      <w:marTop w:val="0"/>
      <w:marBottom w:val="0"/>
      <w:divBdr>
        <w:top w:val="none" w:sz="0" w:space="0" w:color="auto"/>
        <w:left w:val="none" w:sz="0" w:space="0" w:color="auto"/>
        <w:bottom w:val="none" w:sz="0" w:space="0" w:color="auto"/>
        <w:right w:val="none" w:sz="0" w:space="0" w:color="auto"/>
      </w:divBdr>
      <w:divsChild>
        <w:div w:id="2119905283">
          <w:marLeft w:val="0"/>
          <w:marRight w:val="0"/>
          <w:marTop w:val="0"/>
          <w:marBottom w:val="0"/>
          <w:divBdr>
            <w:top w:val="none" w:sz="0" w:space="0" w:color="auto"/>
            <w:left w:val="none" w:sz="0" w:space="0" w:color="auto"/>
            <w:bottom w:val="none" w:sz="0" w:space="0" w:color="auto"/>
            <w:right w:val="none" w:sz="0" w:space="0" w:color="auto"/>
          </w:divBdr>
          <w:divsChild>
            <w:div w:id="329646290">
              <w:marLeft w:val="0"/>
              <w:marRight w:val="0"/>
              <w:marTop w:val="0"/>
              <w:marBottom w:val="0"/>
              <w:divBdr>
                <w:top w:val="none" w:sz="0" w:space="0" w:color="auto"/>
                <w:left w:val="none" w:sz="0" w:space="0" w:color="auto"/>
                <w:bottom w:val="none" w:sz="0" w:space="0" w:color="auto"/>
                <w:right w:val="none" w:sz="0" w:space="0" w:color="auto"/>
              </w:divBdr>
              <w:divsChild>
                <w:div w:id="2044284704">
                  <w:marLeft w:val="285"/>
                  <w:marRight w:val="285"/>
                  <w:marTop w:val="75"/>
                  <w:marBottom w:val="0"/>
                  <w:divBdr>
                    <w:top w:val="none" w:sz="0" w:space="0" w:color="auto"/>
                    <w:left w:val="none" w:sz="0" w:space="0" w:color="auto"/>
                    <w:bottom w:val="none" w:sz="0" w:space="0" w:color="auto"/>
                    <w:right w:val="none" w:sz="0" w:space="0" w:color="auto"/>
                  </w:divBdr>
                  <w:divsChild>
                    <w:div w:id="1473600555">
                      <w:marLeft w:val="285"/>
                      <w:marRight w:val="285"/>
                      <w:marTop w:val="450"/>
                      <w:marBottom w:val="0"/>
                      <w:divBdr>
                        <w:top w:val="none" w:sz="0" w:space="0" w:color="auto"/>
                        <w:left w:val="none" w:sz="0" w:space="0" w:color="auto"/>
                        <w:bottom w:val="none" w:sz="0" w:space="0" w:color="auto"/>
                        <w:right w:val="none" w:sz="0" w:space="0" w:color="auto"/>
                      </w:divBdr>
                      <w:divsChild>
                        <w:div w:id="211426410">
                          <w:marLeft w:val="0"/>
                          <w:marRight w:val="0"/>
                          <w:marTop w:val="0"/>
                          <w:marBottom w:val="0"/>
                          <w:divBdr>
                            <w:top w:val="single" w:sz="6" w:space="0" w:color="EEEEEE"/>
                            <w:left w:val="single" w:sz="6" w:space="0" w:color="FFFFFF"/>
                            <w:bottom w:val="single" w:sz="6" w:space="0" w:color="EEEEEE"/>
                            <w:right w:val="single" w:sz="6" w:space="0" w:color="FFFFFF"/>
                          </w:divBdr>
                          <w:divsChild>
                            <w:div w:id="1377437206">
                              <w:marLeft w:val="0"/>
                              <w:marRight w:val="0"/>
                              <w:marTop w:val="0"/>
                              <w:marBottom w:val="0"/>
                              <w:divBdr>
                                <w:top w:val="none" w:sz="0" w:space="0" w:color="auto"/>
                                <w:left w:val="none" w:sz="0" w:space="0" w:color="auto"/>
                                <w:bottom w:val="none" w:sz="0" w:space="0" w:color="auto"/>
                                <w:right w:val="none" w:sz="0" w:space="0" w:color="auto"/>
                              </w:divBdr>
                              <w:divsChild>
                                <w:div w:id="1786190445">
                                  <w:marLeft w:val="0"/>
                                  <w:marRight w:val="0"/>
                                  <w:marTop w:val="0"/>
                                  <w:marBottom w:val="192"/>
                                  <w:divBdr>
                                    <w:top w:val="none" w:sz="0" w:space="0" w:color="auto"/>
                                    <w:left w:val="none" w:sz="0" w:space="0" w:color="auto"/>
                                    <w:bottom w:val="none" w:sz="0" w:space="0" w:color="auto"/>
                                    <w:right w:val="none" w:sz="0" w:space="0" w:color="auto"/>
                                  </w:divBdr>
                                </w:div>
                              </w:divsChild>
                            </w:div>
                            <w:div w:id="1547255279">
                              <w:marLeft w:val="0"/>
                              <w:marRight w:val="0"/>
                              <w:marTop w:val="0"/>
                              <w:marBottom w:val="0"/>
                              <w:divBdr>
                                <w:top w:val="none" w:sz="0" w:space="0" w:color="auto"/>
                                <w:left w:val="none" w:sz="0" w:space="0" w:color="auto"/>
                                <w:bottom w:val="none" w:sz="0" w:space="0" w:color="auto"/>
                                <w:right w:val="none" w:sz="0" w:space="0" w:color="auto"/>
                              </w:divBdr>
                              <w:divsChild>
                                <w:div w:id="19361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558">
                          <w:marLeft w:val="0"/>
                          <w:marRight w:val="0"/>
                          <w:marTop w:val="0"/>
                          <w:marBottom w:val="0"/>
                          <w:divBdr>
                            <w:top w:val="single" w:sz="6" w:space="0" w:color="FFFFFF"/>
                            <w:left w:val="single" w:sz="6" w:space="0" w:color="FFFFFF"/>
                            <w:bottom w:val="single" w:sz="6" w:space="0" w:color="EEEEEE"/>
                            <w:right w:val="single" w:sz="6" w:space="0" w:color="FFFFFF"/>
                          </w:divBdr>
                          <w:divsChild>
                            <w:div w:id="1834834463">
                              <w:marLeft w:val="0"/>
                              <w:marRight w:val="0"/>
                              <w:marTop w:val="0"/>
                              <w:marBottom w:val="0"/>
                              <w:divBdr>
                                <w:top w:val="none" w:sz="0" w:space="0" w:color="auto"/>
                                <w:left w:val="none" w:sz="0" w:space="0" w:color="auto"/>
                                <w:bottom w:val="none" w:sz="0" w:space="0" w:color="auto"/>
                                <w:right w:val="none" w:sz="0" w:space="0" w:color="auto"/>
                              </w:divBdr>
                              <w:divsChild>
                                <w:div w:id="60858985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320080869">
                          <w:marLeft w:val="0"/>
                          <w:marRight w:val="0"/>
                          <w:marTop w:val="0"/>
                          <w:marBottom w:val="0"/>
                          <w:divBdr>
                            <w:top w:val="none" w:sz="0" w:space="0" w:color="auto"/>
                            <w:left w:val="none" w:sz="0" w:space="0" w:color="auto"/>
                            <w:bottom w:val="none" w:sz="0" w:space="0" w:color="auto"/>
                            <w:right w:val="none" w:sz="0" w:space="0" w:color="auto"/>
                          </w:divBdr>
                          <w:divsChild>
                            <w:div w:id="1820799924">
                              <w:marLeft w:val="0"/>
                              <w:marRight w:val="0"/>
                              <w:marTop w:val="0"/>
                              <w:marBottom w:val="0"/>
                              <w:divBdr>
                                <w:top w:val="single" w:sz="6" w:space="0" w:color="FFFFFF"/>
                                <w:left w:val="single" w:sz="6" w:space="0" w:color="FFFFFF"/>
                                <w:bottom w:val="single" w:sz="6" w:space="0" w:color="EEEEEE"/>
                                <w:right w:val="single" w:sz="6" w:space="0" w:color="FFFFFF"/>
                              </w:divBdr>
                              <w:divsChild>
                                <w:div w:id="560676226">
                                  <w:marLeft w:val="0"/>
                                  <w:marRight w:val="0"/>
                                  <w:marTop w:val="0"/>
                                  <w:marBottom w:val="0"/>
                                  <w:divBdr>
                                    <w:top w:val="none" w:sz="0" w:space="0" w:color="auto"/>
                                    <w:left w:val="none" w:sz="0" w:space="0" w:color="auto"/>
                                    <w:bottom w:val="none" w:sz="0" w:space="0" w:color="auto"/>
                                    <w:right w:val="none" w:sz="0" w:space="0" w:color="auto"/>
                                  </w:divBdr>
                                  <w:divsChild>
                                    <w:div w:id="1892958073">
                                      <w:marLeft w:val="0"/>
                                      <w:marRight w:val="0"/>
                                      <w:marTop w:val="0"/>
                                      <w:marBottom w:val="192"/>
                                      <w:divBdr>
                                        <w:top w:val="none" w:sz="0" w:space="0" w:color="auto"/>
                                        <w:left w:val="none" w:sz="0" w:space="0" w:color="auto"/>
                                        <w:bottom w:val="none" w:sz="0" w:space="0" w:color="auto"/>
                                        <w:right w:val="none" w:sz="0" w:space="0" w:color="auto"/>
                                      </w:divBdr>
                                    </w:div>
                                  </w:divsChild>
                                </w:div>
                                <w:div w:id="438917052">
                                  <w:marLeft w:val="0"/>
                                  <w:marRight w:val="0"/>
                                  <w:marTop w:val="0"/>
                                  <w:marBottom w:val="0"/>
                                  <w:divBdr>
                                    <w:top w:val="none" w:sz="0" w:space="0" w:color="auto"/>
                                    <w:left w:val="none" w:sz="0" w:space="0" w:color="auto"/>
                                    <w:bottom w:val="none" w:sz="0" w:space="0" w:color="auto"/>
                                    <w:right w:val="none" w:sz="0" w:space="0" w:color="auto"/>
                                  </w:divBdr>
                                  <w:divsChild>
                                    <w:div w:id="1217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2657">
                          <w:marLeft w:val="0"/>
                          <w:marRight w:val="0"/>
                          <w:marTop w:val="0"/>
                          <w:marBottom w:val="0"/>
                          <w:divBdr>
                            <w:top w:val="none" w:sz="0" w:space="0" w:color="auto"/>
                            <w:left w:val="none" w:sz="0" w:space="0" w:color="auto"/>
                            <w:bottom w:val="none" w:sz="0" w:space="0" w:color="auto"/>
                            <w:right w:val="none" w:sz="0" w:space="0" w:color="auto"/>
                          </w:divBdr>
                          <w:divsChild>
                            <w:div w:id="2129662013">
                              <w:marLeft w:val="0"/>
                              <w:marRight w:val="0"/>
                              <w:marTop w:val="0"/>
                              <w:marBottom w:val="0"/>
                              <w:divBdr>
                                <w:top w:val="single" w:sz="6" w:space="0" w:color="FFFFFF"/>
                                <w:left w:val="single" w:sz="6" w:space="0" w:color="FFFFFF"/>
                                <w:bottom w:val="single" w:sz="6" w:space="0" w:color="EEEEEE"/>
                                <w:right w:val="single" w:sz="6" w:space="0" w:color="FFFFFF"/>
                              </w:divBdr>
                              <w:divsChild>
                                <w:div w:id="1008754905">
                                  <w:marLeft w:val="0"/>
                                  <w:marRight w:val="0"/>
                                  <w:marTop w:val="0"/>
                                  <w:marBottom w:val="0"/>
                                  <w:divBdr>
                                    <w:top w:val="none" w:sz="0" w:space="0" w:color="auto"/>
                                    <w:left w:val="none" w:sz="0" w:space="0" w:color="auto"/>
                                    <w:bottom w:val="none" w:sz="0" w:space="0" w:color="auto"/>
                                    <w:right w:val="none" w:sz="0" w:space="0" w:color="auto"/>
                                  </w:divBdr>
                                  <w:divsChild>
                                    <w:div w:id="1633748277">
                                      <w:marLeft w:val="0"/>
                                      <w:marRight w:val="0"/>
                                      <w:marTop w:val="0"/>
                                      <w:marBottom w:val="192"/>
                                      <w:divBdr>
                                        <w:top w:val="none" w:sz="0" w:space="0" w:color="auto"/>
                                        <w:left w:val="none" w:sz="0" w:space="0" w:color="auto"/>
                                        <w:bottom w:val="none" w:sz="0" w:space="0" w:color="auto"/>
                                        <w:right w:val="none" w:sz="0" w:space="0" w:color="auto"/>
                                      </w:divBdr>
                                    </w:div>
                                  </w:divsChild>
                                </w:div>
                                <w:div w:id="315493246">
                                  <w:marLeft w:val="0"/>
                                  <w:marRight w:val="0"/>
                                  <w:marTop w:val="0"/>
                                  <w:marBottom w:val="0"/>
                                  <w:divBdr>
                                    <w:top w:val="none" w:sz="0" w:space="0" w:color="auto"/>
                                    <w:left w:val="none" w:sz="0" w:space="0" w:color="auto"/>
                                    <w:bottom w:val="none" w:sz="0" w:space="0" w:color="auto"/>
                                    <w:right w:val="none" w:sz="0" w:space="0" w:color="auto"/>
                                  </w:divBdr>
                                  <w:divsChild>
                                    <w:div w:id="20745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18143">
                          <w:marLeft w:val="0"/>
                          <w:marRight w:val="0"/>
                          <w:marTop w:val="0"/>
                          <w:marBottom w:val="0"/>
                          <w:divBdr>
                            <w:top w:val="none" w:sz="0" w:space="0" w:color="auto"/>
                            <w:left w:val="none" w:sz="0" w:space="0" w:color="auto"/>
                            <w:bottom w:val="none" w:sz="0" w:space="0" w:color="auto"/>
                            <w:right w:val="none" w:sz="0" w:space="0" w:color="auto"/>
                          </w:divBdr>
                          <w:divsChild>
                            <w:div w:id="180515483">
                              <w:marLeft w:val="0"/>
                              <w:marRight w:val="0"/>
                              <w:marTop w:val="0"/>
                              <w:marBottom w:val="0"/>
                              <w:divBdr>
                                <w:top w:val="single" w:sz="6" w:space="0" w:color="FFFFFF"/>
                                <w:left w:val="single" w:sz="6" w:space="0" w:color="FFFFFF"/>
                                <w:bottom w:val="single" w:sz="6" w:space="0" w:color="EEEEEE"/>
                                <w:right w:val="single" w:sz="6" w:space="0" w:color="FFFFFF"/>
                              </w:divBdr>
                              <w:divsChild>
                                <w:div w:id="2131852664">
                                  <w:marLeft w:val="0"/>
                                  <w:marRight w:val="0"/>
                                  <w:marTop w:val="0"/>
                                  <w:marBottom w:val="0"/>
                                  <w:divBdr>
                                    <w:top w:val="none" w:sz="0" w:space="0" w:color="auto"/>
                                    <w:left w:val="none" w:sz="0" w:space="0" w:color="auto"/>
                                    <w:bottom w:val="none" w:sz="0" w:space="0" w:color="auto"/>
                                    <w:right w:val="none" w:sz="0" w:space="0" w:color="auto"/>
                                  </w:divBdr>
                                  <w:divsChild>
                                    <w:div w:id="466700039">
                                      <w:marLeft w:val="0"/>
                                      <w:marRight w:val="0"/>
                                      <w:marTop w:val="0"/>
                                      <w:marBottom w:val="192"/>
                                      <w:divBdr>
                                        <w:top w:val="none" w:sz="0" w:space="0" w:color="auto"/>
                                        <w:left w:val="none" w:sz="0" w:space="0" w:color="auto"/>
                                        <w:bottom w:val="none" w:sz="0" w:space="0" w:color="auto"/>
                                        <w:right w:val="none" w:sz="0" w:space="0" w:color="auto"/>
                                      </w:divBdr>
                                    </w:div>
                                  </w:divsChild>
                                </w:div>
                                <w:div w:id="1146631545">
                                  <w:marLeft w:val="0"/>
                                  <w:marRight w:val="0"/>
                                  <w:marTop w:val="0"/>
                                  <w:marBottom w:val="0"/>
                                  <w:divBdr>
                                    <w:top w:val="none" w:sz="0" w:space="0" w:color="auto"/>
                                    <w:left w:val="none" w:sz="0" w:space="0" w:color="auto"/>
                                    <w:bottom w:val="none" w:sz="0" w:space="0" w:color="auto"/>
                                    <w:right w:val="none" w:sz="0" w:space="0" w:color="auto"/>
                                  </w:divBdr>
                                  <w:divsChild>
                                    <w:div w:id="2864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8737">
                          <w:marLeft w:val="0"/>
                          <w:marRight w:val="0"/>
                          <w:marTop w:val="0"/>
                          <w:marBottom w:val="0"/>
                          <w:divBdr>
                            <w:top w:val="none" w:sz="0" w:space="0" w:color="auto"/>
                            <w:left w:val="none" w:sz="0" w:space="0" w:color="auto"/>
                            <w:bottom w:val="none" w:sz="0" w:space="0" w:color="auto"/>
                            <w:right w:val="none" w:sz="0" w:space="0" w:color="auto"/>
                          </w:divBdr>
                          <w:divsChild>
                            <w:div w:id="1465663224">
                              <w:marLeft w:val="0"/>
                              <w:marRight w:val="0"/>
                              <w:marTop w:val="0"/>
                              <w:marBottom w:val="0"/>
                              <w:divBdr>
                                <w:top w:val="single" w:sz="6" w:space="0" w:color="FFFFFF"/>
                                <w:left w:val="single" w:sz="6" w:space="0" w:color="FFFFFF"/>
                                <w:bottom w:val="single" w:sz="6" w:space="0" w:color="EEEEEE"/>
                                <w:right w:val="single" w:sz="6" w:space="0" w:color="FFFFFF"/>
                              </w:divBdr>
                              <w:divsChild>
                                <w:div w:id="1718386031">
                                  <w:marLeft w:val="0"/>
                                  <w:marRight w:val="0"/>
                                  <w:marTop w:val="0"/>
                                  <w:marBottom w:val="0"/>
                                  <w:divBdr>
                                    <w:top w:val="none" w:sz="0" w:space="0" w:color="auto"/>
                                    <w:left w:val="none" w:sz="0" w:space="0" w:color="auto"/>
                                    <w:bottom w:val="none" w:sz="0" w:space="0" w:color="auto"/>
                                    <w:right w:val="none" w:sz="0" w:space="0" w:color="auto"/>
                                  </w:divBdr>
                                  <w:divsChild>
                                    <w:div w:id="1043868130">
                                      <w:marLeft w:val="0"/>
                                      <w:marRight w:val="0"/>
                                      <w:marTop w:val="0"/>
                                      <w:marBottom w:val="192"/>
                                      <w:divBdr>
                                        <w:top w:val="none" w:sz="0" w:space="0" w:color="auto"/>
                                        <w:left w:val="none" w:sz="0" w:space="0" w:color="auto"/>
                                        <w:bottom w:val="none" w:sz="0" w:space="0" w:color="auto"/>
                                        <w:right w:val="none" w:sz="0" w:space="0" w:color="auto"/>
                                      </w:divBdr>
                                    </w:div>
                                  </w:divsChild>
                                </w:div>
                                <w:div w:id="1235893258">
                                  <w:marLeft w:val="0"/>
                                  <w:marRight w:val="0"/>
                                  <w:marTop w:val="0"/>
                                  <w:marBottom w:val="0"/>
                                  <w:divBdr>
                                    <w:top w:val="none" w:sz="0" w:space="0" w:color="auto"/>
                                    <w:left w:val="none" w:sz="0" w:space="0" w:color="auto"/>
                                    <w:bottom w:val="none" w:sz="0" w:space="0" w:color="auto"/>
                                    <w:right w:val="none" w:sz="0" w:space="0" w:color="auto"/>
                                  </w:divBdr>
                                  <w:divsChild>
                                    <w:div w:id="12129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9463">
                          <w:marLeft w:val="0"/>
                          <w:marRight w:val="0"/>
                          <w:marTop w:val="0"/>
                          <w:marBottom w:val="0"/>
                          <w:divBdr>
                            <w:top w:val="none" w:sz="0" w:space="0" w:color="auto"/>
                            <w:left w:val="none" w:sz="0" w:space="0" w:color="auto"/>
                            <w:bottom w:val="none" w:sz="0" w:space="0" w:color="auto"/>
                            <w:right w:val="none" w:sz="0" w:space="0" w:color="auto"/>
                          </w:divBdr>
                          <w:divsChild>
                            <w:div w:id="716053008">
                              <w:marLeft w:val="0"/>
                              <w:marRight w:val="0"/>
                              <w:marTop w:val="0"/>
                              <w:marBottom w:val="0"/>
                              <w:divBdr>
                                <w:top w:val="single" w:sz="6" w:space="0" w:color="FFFFFF"/>
                                <w:left w:val="single" w:sz="6" w:space="0" w:color="FFFFFF"/>
                                <w:bottom w:val="single" w:sz="6" w:space="0" w:color="EEEEEE"/>
                                <w:right w:val="single" w:sz="6" w:space="0" w:color="FFFFFF"/>
                              </w:divBdr>
                              <w:divsChild>
                                <w:div w:id="427505028">
                                  <w:marLeft w:val="0"/>
                                  <w:marRight w:val="0"/>
                                  <w:marTop w:val="0"/>
                                  <w:marBottom w:val="0"/>
                                  <w:divBdr>
                                    <w:top w:val="none" w:sz="0" w:space="0" w:color="auto"/>
                                    <w:left w:val="none" w:sz="0" w:space="0" w:color="auto"/>
                                    <w:bottom w:val="none" w:sz="0" w:space="0" w:color="auto"/>
                                    <w:right w:val="none" w:sz="0" w:space="0" w:color="auto"/>
                                  </w:divBdr>
                                  <w:divsChild>
                                    <w:div w:id="1342852222">
                                      <w:marLeft w:val="0"/>
                                      <w:marRight w:val="0"/>
                                      <w:marTop w:val="0"/>
                                      <w:marBottom w:val="192"/>
                                      <w:divBdr>
                                        <w:top w:val="none" w:sz="0" w:space="0" w:color="auto"/>
                                        <w:left w:val="none" w:sz="0" w:space="0" w:color="auto"/>
                                        <w:bottom w:val="none" w:sz="0" w:space="0" w:color="auto"/>
                                        <w:right w:val="none" w:sz="0" w:space="0" w:color="auto"/>
                                      </w:divBdr>
                                    </w:div>
                                  </w:divsChild>
                                </w:div>
                                <w:div w:id="1383868987">
                                  <w:marLeft w:val="0"/>
                                  <w:marRight w:val="0"/>
                                  <w:marTop w:val="0"/>
                                  <w:marBottom w:val="0"/>
                                  <w:divBdr>
                                    <w:top w:val="none" w:sz="0" w:space="0" w:color="auto"/>
                                    <w:left w:val="none" w:sz="0" w:space="0" w:color="auto"/>
                                    <w:bottom w:val="none" w:sz="0" w:space="0" w:color="auto"/>
                                    <w:right w:val="none" w:sz="0" w:space="0" w:color="auto"/>
                                  </w:divBdr>
                                  <w:divsChild>
                                    <w:div w:id="4404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1407">
                          <w:marLeft w:val="0"/>
                          <w:marRight w:val="0"/>
                          <w:marTop w:val="0"/>
                          <w:marBottom w:val="0"/>
                          <w:divBdr>
                            <w:top w:val="none" w:sz="0" w:space="0" w:color="auto"/>
                            <w:left w:val="none" w:sz="0" w:space="0" w:color="auto"/>
                            <w:bottom w:val="none" w:sz="0" w:space="0" w:color="auto"/>
                            <w:right w:val="none" w:sz="0" w:space="0" w:color="auto"/>
                          </w:divBdr>
                          <w:divsChild>
                            <w:div w:id="608396322">
                              <w:marLeft w:val="0"/>
                              <w:marRight w:val="0"/>
                              <w:marTop w:val="0"/>
                              <w:marBottom w:val="0"/>
                              <w:divBdr>
                                <w:top w:val="single" w:sz="6" w:space="0" w:color="FFFFFF"/>
                                <w:left w:val="single" w:sz="6" w:space="0" w:color="FFFFFF"/>
                                <w:bottom w:val="single" w:sz="6" w:space="0" w:color="EEEEEE"/>
                                <w:right w:val="single" w:sz="6" w:space="0" w:color="FFFFFF"/>
                              </w:divBdr>
                              <w:divsChild>
                                <w:div w:id="1298952381">
                                  <w:marLeft w:val="0"/>
                                  <w:marRight w:val="0"/>
                                  <w:marTop w:val="0"/>
                                  <w:marBottom w:val="0"/>
                                  <w:divBdr>
                                    <w:top w:val="none" w:sz="0" w:space="0" w:color="auto"/>
                                    <w:left w:val="none" w:sz="0" w:space="0" w:color="auto"/>
                                    <w:bottom w:val="none" w:sz="0" w:space="0" w:color="auto"/>
                                    <w:right w:val="none" w:sz="0" w:space="0" w:color="auto"/>
                                  </w:divBdr>
                                  <w:divsChild>
                                    <w:div w:id="931740498">
                                      <w:marLeft w:val="0"/>
                                      <w:marRight w:val="0"/>
                                      <w:marTop w:val="0"/>
                                      <w:marBottom w:val="192"/>
                                      <w:divBdr>
                                        <w:top w:val="none" w:sz="0" w:space="0" w:color="auto"/>
                                        <w:left w:val="none" w:sz="0" w:space="0" w:color="auto"/>
                                        <w:bottom w:val="none" w:sz="0" w:space="0" w:color="auto"/>
                                        <w:right w:val="none" w:sz="0" w:space="0" w:color="auto"/>
                                      </w:divBdr>
                                    </w:div>
                                  </w:divsChild>
                                </w:div>
                                <w:div w:id="792097100">
                                  <w:marLeft w:val="0"/>
                                  <w:marRight w:val="0"/>
                                  <w:marTop w:val="0"/>
                                  <w:marBottom w:val="0"/>
                                  <w:divBdr>
                                    <w:top w:val="none" w:sz="0" w:space="0" w:color="auto"/>
                                    <w:left w:val="none" w:sz="0" w:space="0" w:color="auto"/>
                                    <w:bottom w:val="none" w:sz="0" w:space="0" w:color="auto"/>
                                    <w:right w:val="none" w:sz="0" w:space="0" w:color="auto"/>
                                  </w:divBdr>
                                  <w:divsChild>
                                    <w:div w:id="5005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11120">
                          <w:marLeft w:val="0"/>
                          <w:marRight w:val="0"/>
                          <w:marTop w:val="0"/>
                          <w:marBottom w:val="0"/>
                          <w:divBdr>
                            <w:top w:val="none" w:sz="0" w:space="0" w:color="auto"/>
                            <w:left w:val="none" w:sz="0" w:space="0" w:color="auto"/>
                            <w:bottom w:val="none" w:sz="0" w:space="0" w:color="auto"/>
                            <w:right w:val="none" w:sz="0" w:space="0" w:color="auto"/>
                          </w:divBdr>
                          <w:divsChild>
                            <w:div w:id="2133550409">
                              <w:marLeft w:val="0"/>
                              <w:marRight w:val="0"/>
                              <w:marTop w:val="0"/>
                              <w:marBottom w:val="0"/>
                              <w:divBdr>
                                <w:top w:val="single" w:sz="6" w:space="0" w:color="FFFFFF"/>
                                <w:left w:val="single" w:sz="6" w:space="0" w:color="FFFFFF"/>
                                <w:bottom w:val="single" w:sz="6" w:space="0" w:color="EEEEEE"/>
                                <w:right w:val="single" w:sz="6" w:space="0" w:color="FFFFFF"/>
                              </w:divBdr>
                              <w:divsChild>
                                <w:div w:id="788207122">
                                  <w:marLeft w:val="0"/>
                                  <w:marRight w:val="0"/>
                                  <w:marTop w:val="0"/>
                                  <w:marBottom w:val="0"/>
                                  <w:divBdr>
                                    <w:top w:val="none" w:sz="0" w:space="0" w:color="auto"/>
                                    <w:left w:val="none" w:sz="0" w:space="0" w:color="auto"/>
                                    <w:bottom w:val="none" w:sz="0" w:space="0" w:color="auto"/>
                                    <w:right w:val="none" w:sz="0" w:space="0" w:color="auto"/>
                                  </w:divBdr>
                                  <w:divsChild>
                                    <w:div w:id="723798446">
                                      <w:marLeft w:val="0"/>
                                      <w:marRight w:val="0"/>
                                      <w:marTop w:val="0"/>
                                      <w:marBottom w:val="192"/>
                                      <w:divBdr>
                                        <w:top w:val="none" w:sz="0" w:space="0" w:color="auto"/>
                                        <w:left w:val="none" w:sz="0" w:space="0" w:color="auto"/>
                                        <w:bottom w:val="none" w:sz="0" w:space="0" w:color="auto"/>
                                        <w:right w:val="none" w:sz="0" w:space="0" w:color="auto"/>
                                      </w:divBdr>
                                    </w:div>
                                  </w:divsChild>
                                </w:div>
                                <w:div w:id="669211748">
                                  <w:marLeft w:val="0"/>
                                  <w:marRight w:val="0"/>
                                  <w:marTop w:val="0"/>
                                  <w:marBottom w:val="0"/>
                                  <w:divBdr>
                                    <w:top w:val="none" w:sz="0" w:space="0" w:color="auto"/>
                                    <w:left w:val="none" w:sz="0" w:space="0" w:color="auto"/>
                                    <w:bottom w:val="none" w:sz="0" w:space="0" w:color="auto"/>
                                    <w:right w:val="none" w:sz="0" w:space="0" w:color="auto"/>
                                  </w:divBdr>
                                  <w:divsChild>
                                    <w:div w:id="10342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5657">
                          <w:marLeft w:val="0"/>
                          <w:marRight w:val="0"/>
                          <w:marTop w:val="0"/>
                          <w:marBottom w:val="0"/>
                          <w:divBdr>
                            <w:top w:val="single" w:sz="6" w:space="0" w:color="FFFFFF"/>
                            <w:left w:val="single" w:sz="6" w:space="0" w:color="FFFFFF"/>
                            <w:bottom w:val="single" w:sz="6" w:space="0" w:color="EEEEEE"/>
                            <w:right w:val="single" w:sz="6" w:space="0" w:color="FFFFFF"/>
                          </w:divBdr>
                          <w:divsChild>
                            <w:div w:id="1998341378">
                              <w:marLeft w:val="0"/>
                              <w:marRight w:val="0"/>
                              <w:marTop w:val="0"/>
                              <w:marBottom w:val="0"/>
                              <w:divBdr>
                                <w:top w:val="none" w:sz="0" w:space="0" w:color="auto"/>
                                <w:left w:val="none" w:sz="0" w:space="0" w:color="auto"/>
                                <w:bottom w:val="none" w:sz="0" w:space="0" w:color="auto"/>
                                <w:right w:val="none" w:sz="0" w:space="0" w:color="auto"/>
                              </w:divBdr>
                              <w:divsChild>
                                <w:div w:id="646587364">
                                  <w:marLeft w:val="0"/>
                                  <w:marRight w:val="0"/>
                                  <w:marTop w:val="0"/>
                                  <w:marBottom w:val="192"/>
                                  <w:divBdr>
                                    <w:top w:val="none" w:sz="0" w:space="0" w:color="auto"/>
                                    <w:left w:val="none" w:sz="0" w:space="0" w:color="auto"/>
                                    <w:bottom w:val="none" w:sz="0" w:space="0" w:color="auto"/>
                                    <w:right w:val="none" w:sz="0" w:space="0" w:color="auto"/>
                                  </w:divBdr>
                                </w:div>
                              </w:divsChild>
                            </w:div>
                            <w:div w:id="316568235">
                              <w:marLeft w:val="0"/>
                              <w:marRight w:val="0"/>
                              <w:marTop w:val="0"/>
                              <w:marBottom w:val="0"/>
                              <w:divBdr>
                                <w:top w:val="none" w:sz="0" w:space="0" w:color="auto"/>
                                <w:left w:val="none" w:sz="0" w:space="0" w:color="auto"/>
                                <w:bottom w:val="none" w:sz="0" w:space="0" w:color="auto"/>
                                <w:right w:val="none" w:sz="0" w:space="0" w:color="auto"/>
                              </w:divBdr>
                              <w:divsChild>
                                <w:div w:id="18159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8304">
                          <w:marLeft w:val="0"/>
                          <w:marRight w:val="0"/>
                          <w:marTop w:val="0"/>
                          <w:marBottom w:val="0"/>
                          <w:divBdr>
                            <w:top w:val="single" w:sz="6" w:space="0" w:color="EEEEEE"/>
                            <w:left w:val="single" w:sz="6" w:space="0" w:color="FFFFFF"/>
                            <w:bottom w:val="single" w:sz="6" w:space="0" w:color="EEEEEE"/>
                            <w:right w:val="single" w:sz="6" w:space="0" w:color="FFFFFF"/>
                          </w:divBdr>
                          <w:divsChild>
                            <w:div w:id="932711612">
                              <w:marLeft w:val="0"/>
                              <w:marRight w:val="0"/>
                              <w:marTop w:val="0"/>
                              <w:marBottom w:val="0"/>
                              <w:divBdr>
                                <w:top w:val="none" w:sz="0" w:space="0" w:color="auto"/>
                                <w:left w:val="none" w:sz="0" w:space="0" w:color="auto"/>
                                <w:bottom w:val="none" w:sz="0" w:space="0" w:color="auto"/>
                                <w:right w:val="none" w:sz="0" w:space="0" w:color="auto"/>
                              </w:divBdr>
                              <w:divsChild>
                                <w:div w:id="222915429">
                                  <w:marLeft w:val="0"/>
                                  <w:marRight w:val="0"/>
                                  <w:marTop w:val="0"/>
                                  <w:marBottom w:val="192"/>
                                  <w:divBdr>
                                    <w:top w:val="none" w:sz="0" w:space="0" w:color="auto"/>
                                    <w:left w:val="none" w:sz="0" w:space="0" w:color="auto"/>
                                    <w:bottom w:val="none" w:sz="0" w:space="0" w:color="auto"/>
                                    <w:right w:val="none" w:sz="0" w:space="0" w:color="auto"/>
                                  </w:divBdr>
                                </w:div>
                              </w:divsChild>
                            </w:div>
                            <w:div w:id="1849979423">
                              <w:marLeft w:val="0"/>
                              <w:marRight w:val="0"/>
                              <w:marTop w:val="0"/>
                              <w:marBottom w:val="0"/>
                              <w:divBdr>
                                <w:top w:val="none" w:sz="0" w:space="0" w:color="auto"/>
                                <w:left w:val="none" w:sz="0" w:space="0" w:color="auto"/>
                                <w:bottom w:val="none" w:sz="0" w:space="0" w:color="auto"/>
                                <w:right w:val="none" w:sz="0" w:space="0" w:color="auto"/>
                              </w:divBdr>
                              <w:divsChild>
                                <w:div w:id="210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3461">
                          <w:marLeft w:val="0"/>
                          <w:marRight w:val="0"/>
                          <w:marTop w:val="0"/>
                          <w:marBottom w:val="0"/>
                          <w:divBdr>
                            <w:top w:val="single" w:sz="6" w:space="0" w:color="FFFFFF"/>
                            <w:left w:val="single" w:sz="6" w:space="0" w:color="FFFFFF"/>
                            <w:bottom w:val="single" w:sz="6" w:space="0" w:color="EEEEEE"/>
                            <w:right w:val="single" w:sz="6" w:space="0" w:color="FFFFFF"/>
                          </w:divBdr>
                          <w:divsChild>
                            <w:div w:id="378212289">
                              <w:marLeft w:val="0"/>
                              <w:marRight w:val="0"/>
                              <w:marTop w:val="0"/>
                              <w:marBottom w:val="0"/>
                              <w:divBdr>
                                <w:top w:val="none" w:sz="0" w:space="0" w:color="auto"/>
                                <w:left w:val="none" w:sz="0" w:space="0" w:color="auto"/>
                                <w:bottom w:val="none" w:sz="0" w:space="0" w:color="auto"/>
                                <w:right w:val="none" w:sz="0" w:space="0" w:color="auto"/>
                              </w:divBdr>
                              <w:divsChild>
                                <w:div w:id="1138911593">
                                  <w:marLeft w:val="0"/>
                                  <w:marRight w:val="0"/>
                                  <w:marTop w:val="0"/>
                                  <w:marBottom w:val="192"/>
                                  <w:divBdr>
                                    <w:top w:val="none" w:sz="0" w:space="0" w:color="auto"/>
                                    <w:left w:val="none" w:sz="0" w:space="0" w:color="auto"/>
                                    <w:bottom w:val="none" w:sz="0" w:space="0" w:color="auto"/>
                                    <w:right w:val="none" w:sz="0" w:space="0" w:color="auto"/>
                                  </w:divBdr>
                                </w:div>
                              </w:divsChild>
                            </w:div>
                            <w:div w:id="1608077775">
                              <w:marLeft w:val="0"/>
                              <w:marRight w:val="0"/>
                              <w:marTop w:val="0"/>
                              <w:marBottom w:val="0"/>
                              <w:divBdr>
                                <w:top w:val="none" w:sz="0" w:space="0" w:color="auto"/>
                                <w:left w:val="none" w:sz="0" w:space="0" w:color="auto"/>
                                <w:bottom w:val="none" w:sz="0" w:space="0" w:color="auto"/>
                                <w:right w:val="none" w:sz="0" w:space="0" w:color="auto"/>
                              </w:divBdr>
                              <w:divsChild>
                                <w:div w:id="1798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4437">
                          <w:marLeft w:val="0"/>
                          <w:marRight w:val="0"/>
                          <w:marTop w:val="0"/>
                          <w:marBottom w:val="0"/>
                          <w:divBdr>
                            <w:top w:val="single" w:sz="6" w:space="0" w:color="FFFFFF"/>
                            <w:left w:val="single" w:sz="6" w:space="0" w:color="FFFFFF"/>
                            <w:bottom w:val="single" w:sz="6" w:space="0" w:color="EEEEEE"/>
                            <w:right w:val="single" w:sz="6" w:space="0" w:color="FFFFFF"/>
                          </w:divBdr>
                          <w:divsChild>
                            <w:div w:id="1992053573">
                              <w:marLeft w:val="0"/>
                              <w:marRight w:val="0"/>
                              <w:marTop w:val="0"/>
                              <w:marBottom w:val="0"/>
                              <w:divBdr>
                                <w:top w:val="none" w:sz="0" w:space="0" w:color="auto"/>
                                <w:left w:val="none" w:sz="0" w:space="0" w:color="auto"/>
                                <w:bottom w:val="none" w:sz="0" w:space="0" w:color="auto"/>
                                <w:right w:val="none" w:sz="0" w:space="0" w:color="auto"/>
                              </w:divBdr>
                              <w:divsChild>
                                <w:div w:id="107900171">
                                  <w:marLeft w:val="0"/>
                                  <w:marRight w:val="0"/>
                                  <w:marTop w:val="0"/>
                                  <w:marBottom w:val="192"/>
                                  <w:divBdr>
                                    <w:top w:val="none" w:sz="0" w:space="0" w:color="auto"/>
                                    <w:left w:val="none" w:sz="0" w:space="0" w:color="auto"/>
                                    <w:bottom w:val="none" w:sz="0" w:space="0" w:color="auto"/>
                                    <w:right w:val="none" w:sz="0" w:space="0" w:color="auto"/>
                                  </w:divBdr>
                                </w:div>
                              </w:divsChild>
                            </w:div>
                            <w:div w:id="1060254821">
                              <w:marLeft w:val="0"/>
                              <w:marRight w:val="0"/>
                              <w:marTop w:val="0"/>
                              <w:marBottom w:val="0"/>
                              <w:divBdr>
                                <w:top w:val="none" w:sz="0" w:space="0" w:color="auto"/>
                                <w:left w:val="none" w:sz="0" w:space="0" w:color="auto"/>
                                <w:bottom w:val="none" w:sz="0" w:space="0" w:color="auto"/>
                                <w:right w:val="none" w:sz="0" w:space="0" w:color="auto"/>
                              </w:divBdr>
                              <w:divsChild>
                                <w:div w:id="3168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5472">
                          <w:marLeft w:val="0"/>
                          <w:marRight w:val="0"/>
                          <w:marTop w:val="0"/>
                          <w:marBottom w:val="0"/>
                          <w:divBdr>
                            <w:top w:val="single" w:sz="6" w:space="0" w:color="FFFFFF"/>
                            <w:left w:val="single" w:sz="6" w:space="0" w:color="FFFFFF"/>
                            <w:bottom w:val="single" w:sz="6" w:space="0" w:color="EEEEEE"/>
                            <w:right w:val="single" w:sz="6" w:space="0" w:color="FFFFFF"/>
                          </w:divBdr>
                          <w:divsChild>
                            <w:div w:id="65346941">
                              <w:marLeft w:val="0"/>
                              <w:marRight w:val="0"/>
                              <w:marTop w:val="0"/>
                              <w:marBottom w:val="0"/>
                              <w:divBdr>
                                <w:top w:val="none" w:sz="0" w:space="0" w:color="auto"/>
                                <w:left w:val="none" w:sz="0" w:space="0" w:color="auto"/>
                                <w:bottom w:val="none" w:sz="0" w:space="0" w:color="auto"/>
                                <w:right w:val="none" w:sz="0" w:space="0" w:color="auto"/>
                              </w:divBdr>
                              <w:divsChild>
                                <w:div w:id="2069571527">
                                  <w:marLeft w:val="0"/>
                                  <w:marRight w:val="0"/>
                                  <w:marTop w:val="0"/>
                                  <w:marBottom w:val="192"/>
                                  <w:divBdr>
                                    <w:top w:val="none" w:sz="0" w:space="0" w:color="auto"/>
                                    <w:left w:val="none" w:sz="0" w:space="0" w:color="auto"/>
                                    <w:bottom w:val="none" w:sz="0" w:space="0" w:color="auto"/>
                                    <w:right w:val="none" w:sz="0" w:space="0" w:color="auto"/>
                                  </w:divBdr>
                                </w:div>
                              </w:divsChild>
                            </w:div>
                            <w:div w:id="679813289">
                              <w:marLeft w:val="0"/>
                              <w:marRight w:val="0"/>
                              <w:marTop w:val="0"/>
                              <w:marBottom w:val="0"/>
                              <w:divBdr>
                                <w:top w:val="none" w:sz="0" w:space="0" w:color="auto"/>
                                <w:left w:val="none" w:sz="0" w:space="0" w:color="auto"/>
                                <w:bottom w:val="none" w:sz="0" w:space="0" w:color="auto"/>
                                <w:right w:val="none" w:sz="0" w:space="0" w:color="auto"/>
                              </w:divBdr>
                              <w:divsChild>
                                <w:div w:id="1612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549">
                          <w:marLeft w:val="0"/>
                          <w:marRight w:val="0"/>
                          <w:marTop w:val="0"/>
                          <w:marBottom w:val="0"/>
                          <w:divBdr>
                            <w:top w:val="single" w:sz="6" w:space="0" w:color="EEEEEE"/>
                            <w:left w:val="single" w:sz="6" w:space="0" w:color="FFFFFF"/>
                            <w:bottom w:val="single" w:sz="6" w:space="0" w:color="EEEEEE"/>
                            <w:right w:val="single" w:sz="6" w:space="0" w:color="FFFFFF"/>
                          </w:divBdr>
                          <w:divsChild>
                            <w:div w:id="93940995">
                              <w:marLeft w:val="0"/>
                              <w:marRight w:val="0"/>
                              <w:marTop w:val="0"/>
                              <w:marBottom w:val="0"/>
                              <w:divBdr>
                                <w:top w:val="none" w:sz="0" w:space="0" w:color="auto"/>
                                <w:left w:val="none" w:sz="0" w:space="0" w:color="auto"/>
                                <w:bottom w:val="none" w:sz="0" w:space="0" w:color="auto"/>
                                <w:right w:val="none" w:sz="0" w:space="0" w:color="auto"/>
                              </w:divBdr>
                              <w:divsChild>
                                <w:div w:id="1288271694">
                                  <w:marLeft w:val="0"/>
                                  <w:marRight w:val="0"/>
                                  <w:marTop w:val="0"/>
                                  <w:marBottom w:val="192"/>
                                  <w:divBdr>
                                    <w:top w:val="none" w:sz="0" w:space="0" w:color="auto"/>
                                    <w:left w:val="none" w:sz="0" w:space="0" w:color="auto"/>
                                    <w:bottom w:val="none" w:sz="0" w:space="0" w:color="auto"/>
                                    <w:right w:val="none" w:sz="0" w:space="0" w:color="auto"/>
                                  </w:divBdr>
                                </w:div>
                              </w:divsChild>
                            </w:div>
                            <w:div w:id="149565947">
                              <w:marLeft w:val="0"/>
                              <w:marRight w:val="0"/>
                              <w:marTop w:val="0"/>
                              <w:marBottom w:val="0"/>
                              <w:divBdr>
                                <w:top w:val="none" w:sz="0" w:space="0" w:color="auto"/>
                                <w:left w:val="none" w:sz="0" w:space="0" w:color="auto"/>
                                <w:bottom w:val="none" w:sz="0" w:space="0" w:color="auto"/>
                                <w:right w:val="none" w:sz="0" w:space="0" w:color="auto"/>
                              </w:divBdr>
                              <w:divsChild>
                                <w:div w:id="7482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1126">
                          <w:marLeft w:val="0"/>
                          <w:marRight w:val="0"/>
                          <w:marTop w:val="0"/>
                          <w:marBottom w:val="0"/>
                          <w:divBdr>
                            <w:top w:val="single" w:sz="6" w:space="0" w:color="FFFFFF"/>
                            <w:left w:val="single" w:sz="6" w:space="0" w:color="FFFFFF"/>
                            <w:bottom w:val="single" w:sz="6" w:space="0" w:color="EEEEEE"/>
                            <w:right w:val="single" w:sz="6" w:space="0" w:color="FFFFFF"/>
                          </w:divBdr>
                          <w:divsChild>
                            <w:div w:id="1816991810">
                              <w:marLeft w:val="0"/>
                              <w:marRight w:val="0"/>
                              <w:marTop w:val="0"/>
                              <w:marBottom w:val="0"/>
                              <w:divBdr>
                                <w:top w:val="none" w:sz="0" w:space="0" w:color="auto"/>
                                <w:left w:val="none" w:sz="0" w:space="0" w:color="auto"/>
                                <w:bottom w:val="none" w:sz="0" w:space="0" w:color="auto"/>
                                <w:right w:val="none" w:sz="0" w:space="0" w:color="auto"/>
                              </w:divBdr>
                              <w:divsChild>
                                <w:div w:id="2032417255">
                                  <w:marLeft w:val="0"/>
                                  <w:marRight w:val="0"/>
                                  <w:marTop w:val="0"/>
                                  <w:marBottom w:val="192"/>
                                  <w:divBdr>
                                    <w:top w:val="none" w:sz="0" w:space="0" w:color="auto"/>
                                    <w:left w:val="none" w:sz="0" w:space="0" w:color="auto"/>
                                    <w:bottom w:val="none" w:sz="0" w:space="0" w:color="auto"/>
                                    <w:right w:val="none" w:sz="0" w:space="0" w:color="auto"/>
                                  </w:divBdr>
                                </w:div>
                              </w:divsChild>
                            </w:div>
                            <w:div w:id="776489139">
                              <w:marLeft w:val="0"/>
                              <w:marRight w:val="0"/>
                              <w:marTop w:val="0"/>
                              <w:marBottom w:val="0"/>
                              <w:divBdr>
                                <w:top w:val="none" w:sz="0" w:space="0" w:color="auto"/>
                                <w:left w:val="none" w:sz="0" w:space="0" w:color="auto"/>
                                <w:bottom w:val="none" w:sz="0" w:space="0" w:color="auto"/>
                                <w:right w:val="none" w:sz="0" w:space="0" w:color="auto"/>
                              </w:divBdr>
                              <w:divsChild>
                                <w:div w:id="6836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948">
                          <w:marLeft w:val="0"/>
                          <w:marRight w:val="0"/>
                          <w:marTop w:val="0"/>
                          <w:marBottom w:val="0"/>
                          <w:divBdr>
                            <w:top w:val="single" w:sz="6" w:space="0" w:color="FFFFFF"/>
                            <w:left w:val="single" w:sz="6" w:space="0" w:color="FFFFFF"/>
                            <w:bottom w:val="single" w:sz="6" w:space="0" w:color="EEEEEE"/>
                            <w:right w:val="single" w:sz="6" w:space="0" w:color="FFFFFF"/>
                          </w:divBdr>
                          <w:divsChild>
                            <w:div w:id="503059827">
                              <w:marLeft w:val="0"/>
                              <w:marRight w:val="0"/>
                              <w:marTop w:val="0"/>
                              <w:marBottom w:val="0"/>
                              <w:divBdr>
                                <w:top w:val="none" w:sz="0" w:space="0" w:color="auto"/>
                                <w:left w:val="none" w:sz="0" w:space="0" w:color="auto"/>
                                <w:bottom w:val="none" w:sz="0" w:space="0" w:color="auto"/>
                                <w:right w:val="none" w:sz="0" w:space="0" w:color="auto"/>
                              </w:divBdr>
                              <w:divsChild>
                                <w:div w:id="1207454622">
                                  <w:marLeft w:val="0"/>
                                  <w:marRight w:val="0"/>
                                  <w:marTop w:val="0"/>
                                  <w:marBottom w:val="192"/>
                                  <w:divBdr>
                                    <w:top w:val="none" w:sz="0" w:space="0" w:color="auto"/>
                                    <w:left w:val="none" w:sz="0" w:space="0" w:color="auto"/>
                                    <w:bottom w:val="none" w:sz="0" w:space="0" w:color="auto"/>
                                    <w:right w:val="none" w:sz="0" w:space="0" w:color="auto"/>
                                  </w:divBdr>
                                </w:div>
                              </w:divsChild>
                            </w:div>
                            <w:div w:id="1741368421">
                              <w:marLeft w:val="0"/>
                              <w:marRight w:val="0"/>
                              <w:marTop w:val="0"/>
                              <w:marBottom w:val="0"/>
                              <w:divBdr>
                                <w:top w:val="none" w:sz="0" w:space="0" w:color="auto"/>
                                <w:left w:val="none" w:sz="0" w:space="0" w:color="auto"/>
                                <w:bottom w:val="none" w:sz="0" w:space="0" w:color="auto"/>
                                <w:right w:val="none" w:sz="0" w:space="0" w:color="auto"/>
                              </w:divBdr>
                              <w:divsChild>
                                <w:div w:id="15489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4655">
                          <w:marLeft w:val="0"/>
                          <w:marRight w:val="0"/>
                          <w:marTop w:val="0"/>
                          <w:marBottom w:val="0"/>
                          <w:divBdr>
                            <w:top w:val="single" w:sz="6" w:space="0" w:color="FFFFFF"/>
                            <w:left w:val="single" w:sz="6" w:space="0" w:color="FFFFFF"/>
                            <w:bottom w:val="single" w:sz="6" w:space="0" w:color="EEEEEE"/>
                            <w:right w:val="single" w:sz="6" w:space="0" w:color="FFFFFF"/>
                          </w:divBdr>
                          <w:divsChild>
                            <w:div w:id="625161142">
                              <w:marLeft w:val="0"/>
                              <w:marRight w:val="0"/>
                              <w:marTop w:val="0"/>
                              <w:marBottom w:val="0"/>
                              <w:divBdr>
                                <w:top w:val="none" w:sz="0" w:space="0" w:color="auto"/>
                                <w:left w:val="none" w:sz="0" w:space="0" w:color="auto"/>
                                <w:bottom w:val="none" w:sz="0" w:space="0" w:color="auto"/>
                                <w:right w:val="none" w:sz="0" w:space="0" w:color="auto"/>
                              </w:divBdr>
                              <w:divsChild>
                                <w:div w:id="1523782355">
                                  <w:marLeft w:val="0"/>
                                  <w:marRight w:val="0"/>
                                  <w:marTop w:val="0"/>
                                  <w:marBottom w:val="192"/>
                                  <w:divBdr>
                                    <w:top w:val="none" w:sz="0" w:space="0" w:color="auto"/>
                                    <w:left w:val="none" w:sz="0" w:space="0" w:color="auto"/>
                                    <w:bottom w:val="none" w:sz="0" w:space="0" w:color="auto"/>
                                    <w:right w:val="none" w:sz="0" w:space="0" w:color="auto"/>
                                  </w:divBdr>
                                </w:div>
                              </w:divsChild>
                            </w:div>
                            <w:div w:id="132257277">
                              <w:marLeft w:val="0"/>
                              <w:marRight w:val="0"/>
                              <w:marTop w:val="0"/>
                              <w:marBottom w:val="0"/>
                              <w:divBdr>
                                <w:top w:val="none" w:sz="0" w:space="0" w:color="auto"/>
                                <w:left w:val="none" w:sz="0" w:space="0" w:color="auto"/>
                                <w:bottom w:val="none" w:sz="0" w:space="0" w:color="auto"/>
                                <w:right w:val="none" w:sz="0" w:space="0" w:color="auto"/>
                              </w:divBdr>
                              <w:divsChild>
                                <w:div w:id="15707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448">
                          <w:marLeft w:val="0"/>
                          <w:marRight w:val="0"/>
                          <w:marTop w:val="0"/>
                          <w:marBottom w:val="0"/>
                          <w:divBdr>
                            <w:top w:val="single" w:sz="6" w:space="0" w:color="FFFFFF"/>
                            <w:left w:val="single" w:sz="6" w:space="0" w:color="FFFFFF"/>
                            <w:bottom w:val="single" w:sz="6" w:space="0" w:color="EEEEEE"/>
                            <w:right w:val="single" w:sz="6" w:space="0" w:color="FFFFFF"/>
                          </w:divBdr>
                          <w:divsChild>
                            <w:div w:id="1489593181">
                              <w:marLeft w:val="0"/>
                              <w:marRight w:val="0"/>
                              <w:marTop w:val="0"/>
                              <w:marBottom w:val="0"/>
                              <w:divBdr>
                                <w:top w:val="none" w:sz="0" w:space="0" w:color="auto"/>
                                <w:left w:val="none" w:sz="0" w:space="0" w:color="auto"/>
                                <w:bottom w:val="none" w:sz="0" w:space="0" w:color="auto"/>
                                <w:right w:val="none" w:sz="0" w:space="0" w:color="auto"/>
                              </w:divBdr>
                              <w:divsChild>
                                <w:div w:id="106109820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57517924">
                          <w:marLeft w:val="0"/>
                          <w:marRight w:val="0"/>
                          <w:marTop w:val="0"/>
                          <w:marBottom w:val="0"/>
                          <w:divBdr>
                            <w:top w:val="none" w:sz="0" w:space="0" w:color="auto"/>
                            <w:left w:val="none" w:sz="0" w:space="0" w:color="auto"/>
                            <w:bottom w:val="none" w:sz="0" w:space="0" w:color="auto"/>
                            <w:right w:val="none" w:sz="0" w:space="0" w:color="auto"/>
                          </w:divBdr>
                          <w:divsChild>
                            <w:div w:id="1183057123">
                              <w:marLeft w:val="0"/>
                              <w:marRight w:val="0"/>
                              <w:marTop w:val="0"/>
                              <w:marBottom w:val="0"/>
                              <w:divBdr>
                                <w:top w:val="single" w:sz="6" w:space="0" w:color="FFFFFF"/>
                                <w:left w:val="single" w:sz="6" w:space="0" w:color="FFFFFF"/>
                                <w:bottom w:val="single" w:sz="6" w:space="0" w:color="EEEEEE"/>
                                <w:right w:val="single" w:sz="6" w:space="0" w:color="FFFFFF"/>
                              </w:divBdr>
                              <w:divsChild>
                                <w:div w:id="2136562914">
                                  <w:marLeft w:val="0"/>
                                  <w:marRight w:val="0"/>
                                  <w:marTop w:val="0"/>
                                  <w:marBottom w:val="0"/>
                                  <w:divBdr>
                                    <w:top w:val="none" w:sz="0" w:space="0" w:color="auto"/>
                                    <w:left w:val="none" w:sz="0" w:space="0" w:color="auto"/>
                                    <w:bottom w:val="none" w:sz="0" w:space="0" w:color="auto"/>
                                    <w:right w:val="none" w:sz="0" w:space="0" w:color="auto"/>
                                  </w:divBdr>
                                  <w:divsChild>
                                    <w:div w:id="2016112367">
                                      <w:marLeft w:val="0"/>
                                      <w:marRight w:val="0"/>
                                      <w:marTop w:val="0"/>
                                      <w:marBottom w:val="192"/>
                                      <w:divBdr>
                                        <w:top w:val="none" w:sz="0" w:space="0" w:color="auto"/>
                                        <w:left w:val="none" w:sz="0" w:space="0" w:color="auto"/>
                                        <w:bottom w:val="none" w:sz="0" w:space="0" w:color="auto"/>
                                        <w:right w:val="none" w:sz="0" w:space="0" w:color="auto"/>
                                      </w:divBdr>
                                    </w:div>
                                  </w:divsChild>
                                </w:div>
                                <w:div w:id="165439500">
                                  <w:marLeft w:val="0"/>
                                  <w:marRight w:val="0"/>
                                  <w:marTop w:val="0"/>
                                  <w:marBottom w:val="0"/>
                                  <w:divBdr>
                                    <w:top w:val="none" w:sz="0" w:space="0" w:color="auto"/>
                                    <w:left w:val="none" w:sz="0" w:space="0" w:color="auto"/>
                                    <w:bottom w:val="none" w:sz="0" w:space="0" w:color="auto"/>
                                    <w:right w:val="none" w:sz="0" w:space="0" w:color="auto"/>
                                  </w:divBdr>
                                  <w:divsChild>
                                    <w:div w:id="107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31879">
                          <w:marLeft w:val="0"/>
                          <w:marRight w:val="0"/>
                          <w:marTop w:val="0"/>
                          <w:marBottom w:val="0"/>
                          <w:divBdr>
                            <w:top w:val="none" w:sz="0" w:space="0" w:color="auto"/>
                            <w:left w:val="none" w:sz="0" w:space="0" w:color="auto"/>
                            <w:bottom w:val="none" w:sz="0" w:space="0" w:color="auto"/>
                            <w:right w:val="none" w:sz="0" w:space="0" w:color="auto"/>
                          </w:divBdr>
                          <w:divsChild>
                            <w:div w:id="334385720">
                              <w:marLeft w:val="0"/>
                              <w:marRight w:val="0"/>
                              <w:marTop w:val="0"/>
                              <w:marBottom w:val="0"/>
                              <w:divBdr>
                                <w:top w:val="single" w:sz="6" w:space="0" w:color="FFFFFF"/>
                                <w:left w:val="single" w:sz="6" w:space="0" w:color="FFFFFF"/>
                                <w:bottom w:val="single" w:sz="6" w:space="0" w:color="EEEEEE"/>
                                <w:right w:val="single" w:sz="6" w:space="0" w:color="FFFFFF"/>
                              </w:divBdr>
                              <w:divsChild>
                                <w:div w:id="2061392021">
                                  <w:marLeft w:val="0"/>
                                  <w:marRight w:val="0"/>
                                  <w:marTop w:val="0"/>
                                  <w:marBottom w:val="0"/>
                                  <w:divBdr>
                                    <w:top w:val="none" w:sz="0" w:space="0" w:color="auto"/>
                                    <w:left w:val="none" w:sz="0" w:space="0" w:color="auto"/>
                                    <w:bottom w:val="none" w:sz="0" w:space="0" w:color="auto"/>
                                    <w:right w:val="none" w:sz="0" w:space="0" w:color="auto"/>
                                  </w:divBdr>
                                  <w:divsChild>
                                    <w:div w:id="1430932759">
                                      <w:marLeft w:val="0"/>
                                      <w:marRight w:val="0"/>
                                      <w:marTop w:val="0"/>
                                      <w:marBottom w:val="192"/>
                                      <w:divBdr>
                                        <w:top w:val="none" w:sz="0" w:space="0" w:color="auto"/>
                                        <w:left w:val="none" w:sz="0" w:space="0" w:color="auto"/>
                                        <w:bottom w:val="none" w:sz="0" w:space="0" w:color="auto"/>
                                        <w:right w:val="none" w:sz="0" w:space="0" w:color="auto"/>
                                      </w:divBdr>
                                    </w:div>
                                  </w:divsChild>
                                </w:div>
                                <w:div w:id="1085571025">
                                  <w:marLeft w:val="0"/>
                                  <w:marRight w:val="0"/>
                                  <w:marTop w:val="0"/>
                                  <w:marBottom w:val="0"/>
                                  <w:divBdr>
                                    <w:top w:val="none" w:sz="0" w:space="0" w:color="auto"/>
                                    <w:left w:val="none" w:sz="0" w:space="0" w:color="auto"/>
                                    <w:bottom w:val="none" w:sz="0" w:space="0" w:color="auto"/>
                                    <w:right w:val="none" w:sz="0" w:space="0" w:color="auto"/>
                                  </w:divBdr>
                                  <w:divsChild>
                                    <w:div w:id="2103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110">
                          <w:marLeft w:val="0"/>
                          <w:marRight w:val="0"/>
                          <w:marTop w:val="0"/>
                          <w:marBottom w:val="0"/>
                          <w:divBdr>
                            <w:top w:val="single" w:sz="6" w:space="0" w:color="EEEEEE"/>
                            <w:left w:val="single" w:sz="6" w:space="0" w:color="FFFFFF"/>
                            <w:bottom w:val="single" w:sz="6" w:space="0" w:color="EEEEEE"/>
                            <w:right w:val="single" w:sz="6" w:space="0" w:color="FFFFFF"/>
                          </w:divBdr>
                          <w:divsChild>
                            <w:div w:id="117452565">
                              <w:marLeft w:val="0"/>
                              <w:marRight w:val="0"/>
                              <w:marTop w:val="0"/>
                              <w:marBottom w:val="0"/>
                              <w:divBdr>
                                <w:top w:val="none" w:sz="0" w:space="0" w:color="auto"/>
                                <w:left w:val="none" w:sz="0" w:space="0" w:color="auto"/>
                                <w:bottom w:val="none" w:sz="0" w:space="0" w:color="auto"/>
                                <w:right w:val="none" w:sz="0" w:space="0" w:color="auto"/>
                              </w:divBdr>
                              <w:divsChild>
                                <w:div w:id="1897736228">
                                  <w:marLeft w:val="0"/>
                                  <w:marRight w:val="0"/>
                                  <w:marTop w:val="0"/>
                                  <w:marBottom w:val="192"/>
                                  <w:divBdr>
                                    <w:top w:val="none" w:sz="0" w:space="0" w:color="auto"/>
                                    <w:left w:val="none" w:sz="0" w:space="0" w:color="auto"/>
                                    <w:bottom w:val="none" w:sz="0" w:space="0" w:color="auto"/>
                                    <w:right w:val="none" w:sz="0" w:space="0" w:color="auto"/>
                                  </w:divBdr>
                                </w:div>
                              </w:divsChild>
                            </w:div>
                            <w:div w:id="1512136533">
                              <w:marLeft w:val="0"/>
                              <w:marRight w:val="0"/>
                              <w:marTop w:val="0"/>
                              <w:marBottom w:val="0"/>
                              <w:divBdr>
                                <w:top w:val="none" w:sz="0" w:space="0" w:color="auto"/>
                                <w:left w:val="none" w:sz="0" w:space="0" w:color="auto"/>
                                <w:bottom w:val="none" w:sz="0" w:space="0" w:color="auto"/>
                                <w:right w:val="none" w:sz="0" w:space="0" w:color="auto"/>
                              </w:divBdr>
                              <w:divsChild>
                                <w:div w:id="10944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5548">
                          <w:marLeft w:val="0"/>
                          <w:marRight w:val="0"/>
                          <w:marTop w:val="0"/>
                          <w:marBottom w:val="0"/>
                          <w:divBdr>
                            <w:top w:val="single" w:sz="6" w:space="0" w:color="FFFFFF"/>
                            <w:left w:val="single" w:sz="6" w:space="0" w:color="FFFFFF"/>
                            <w:bottom w:val="single" w:sz="6" w:space="0" w:color="EEEEEE"/>
                            <w:right w:val="single" w:sz="6" w:space="0" w:color="FFFFFF"/>
                          </w:divBdr>
                          <w:divsChild>
                            <w:div w:id="333804015">
                              <w:marLeft w:val="0"/>
                              <w:marRight w:val="0"/>
                              <w:marTop w:val="0"/>
                              <w:marBottom w:val="0"/>
                              <w:divBdr>
                                <w:top w:val="none" w:sz="0" w:space="0" w:color="auto"/>
                                <w:left w:val="none" w:sz="0" w:space="0" w:color="auto"/>
                                <w:bottom w:val="none" w:sz="0" w:space="0" w:color="auto"/>
                                <w:right w:val="none" w:sz="0" w:space="0" w:color="auto"/>
                              </w:divBdr>
                              <w:divsChild>
                                <w:div w:id="1605068624">
                                  <w:marLeft w:val="0"/>
                                  <w:marRight w:val="0"/>
                                  <w:marTop w:val="0"/>
                                  <w:marBottom w:val="192"/>
                                  <w:divBdr>
                                    <w:top w:val="none" w:sz="0" w:space="0" w:color="auto"/>
                                    <w:left w:val="none" w:sz="0" w:space="0" w:color="auto"/>
                                    <w:bottom w:val="none" w:sz="0" w:space="0" w:color="auto"/>
                                    <w:right w:val="none" w:sz="0" w:space="0" w:color="auto"/>
                                  </w:divBdr>
                                </w:div>
                              </w:divsChild>
                            </w:div>
                            <w:div w:id="759260316">
                              <w:marLeft w:val="0"/>
                              <w:marRight w:val="0"/>
                              <w:marTop w:val="0"/>
                              <w:marBottom w:val="0"/>
                              <w:divBdr>
                                <w:top w:val="none" w:sz="0" w:space="0" w:color="auto"/>
                                <w:left w:val="none" w:sz="0" w:space="0" w:color="auto"/>
                                <w:bottom w:val="none" w:sz="0" w:space="0" w:color="auto"/>
                                <w:right w:val="none" w:sz="0" w:space="0" w:color="auto"/>
                              </w:divBdr>
                              <w:divsChild>
                                <w:div w:id="2705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4460">
                          <w:marLeft w:val="0"/>
                          <w:marRight w:val="0"/>
                          <w:marTop w:val="0"/>
                          <w:marBottom w:val="0"/>
                          <w:divBdr>
                            <w:top w:val="single" w:sz="6" w:space="0" w:color="FFFFFF"/>
                            <w:left w:val="single" w:sz="6" w:space="0" w:color="FFFFFF"/>
                            <w:bottom w:val="single" w:sz="6" w:space="0" w:color="EEEEEE"/>
                            <w:right w:val="single" w:sz="6" w:space="0" w:color="FFFFFF"/>
                          </w:divBdr>
                          <w:divsChild>
                            <w:div w:id="547911652">
                              <w:marLeft w:val="0"/>
                              <w:marRight w:val="0"/>
                              <w:marTop w:val="0"/>
                              <w:marBottom w:val="0"/>
                              <w:divBdr>
                                <w:top w:val="none" w:sz="0" w:space="0" w:color="auto"/>
                                <w:left w:val="none" w:sz="0" w:space="0" w:color="auto"/>
                                <w:bottom w:val="none" w:sz="0" w:space="0" w:color="auto"/>
                                <w:right w:val="none" w:sz="0" w:space="0" w:color="auto"/>
                              </w:divBdr>
                              <w:divsChild>
                                <w:div w:id="1866600496">
                                  <w:marLeft w:val="0"/>
                                  <w:marRight w:val="0"/>
                                  <w:marTop w:val="0"/>
                                  <w:marBottom w:val="192"/>
                                  <w:divBdr>
                                    <w:top w:val="none" w:sz="0" w:space="0" w:color="auto"/>
                                    <w:left w:val="none" w:sz="0" w:space="0" w:color="auto"/>
                                    <w:bottom w:val="none" w:sz="0" w:space="0" w:color="auto"/>
                                    <w:right w:val="none" w:sz="0" w:space="0" w:color="auto"/>
                                  </w:divBdr>
                                </w:div>
                              </w:divsChild>
                            </w:div>
                            <w:div w:id="1048188652">
                              <w:marLeft w:val="0"/>
                              <w:marRight w:val="0"/>
                              <w:marTop w:val="0"/>
                              <w:marBottom w:val="0"/>
                              <w:divBdr>
                                <w:top w:val="none" w:sz="0" w:space="0" w:color="auto"/>
                                <w:left w:val="none" w:sz="0" w:space="0" w:color="auto"/>
                                <w:bottom w:val="none" w:sz="0" w:space="0" w:color="auto"/>
                                <w:right w:val="none" w:sz="0" w:space="0" w:color="auto"/>
                              </w:divBdr>
                              <w:divsChild>
                                <w:div w:id="345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2931">
                          <w:marLeft w:val="0"/>
                          <w:marRight w:val="0"/>
                          <w:marTop w:val="0"/>
                          <w:marBottom w:val="0"/>
                          <w:divBdr>
                            <w:top w:val="single" w:sz="6" w:space="0" w:color="FFFFFF"/>
                            <w:left w:val="single" w:sz="6" w:space="0" w:color="FFFFFF"/>
                            <w:bottom w:val="single" w:sz="6" w:space="0" w:color="EEEEEE"/>
                            <w:right w:val="single" w:sz="6" w:space="0" w:color="FFFFFF"/>
                          </w:divBdr>
                          <w:divsChild>
                            <w:div w:id="1085957848">
                              <w:marLeft w:val="0"/>
                              <w:marRight w:val="0"/>
                              <w:marTop w:val="0"/>
                              <w:marBottom w:val="0"/>
                              <w:divBdr>
                                <w:top w:val="none" w:sz="0" w:space="0" w:color="auto"/>
                                <w:left w:val="none" w:sz="0" w:space="0" w:color="auto"/>
                                <w:bottom w:val="none" w:sz="0" w:space="0" w:color="auto"/>
                                <w:right w:val="none" w:sz="0" w:space="0" w:color="auto"/>
                              </w:divBdr>
                              <w:divsChild>
                                <w:div w:id="237329546">
                                  <w:marLeft w:val="0"/>
                                  <w:marRight w:val="0"/>
                                  <w:marTop w:val="0"/>
                                  <w:marBottom w:val="192"/>
                                  <w:divBdr>
                                    <w:top w:val="none" w:sz="0" w:space="0" w:color="auto"/>
                                    <w:left w:val="none" w:sz="0" w:space="0" w:color="auto"/>
                                    <w:bottom w:val="none" w:sz="0" w:space="0" w:color="auto"/>
                                    <w:right w:val="none" w:sz="0" w:space="0" w:color="auto"/>
                                  </w:divBdr>
                                </w:div>
                              </w:divsChild>
                            </w:div>
                            <w:div w:id="1314063187">
                              <w:marLeft w:val="0"/>
                              <w:marRight w:val="0"/>
                              <w:marTop w:val="0"/>
                              <w:marBottom w:val="0"/>
                              <w:divBdr>
                                <w:top w:val="none" w:sz="0" w:space="0" w:color="auto"/>
                                <w:left w:val="none" w:sz="0" w:space="0" w:color="auto"/>
                                <w:bottom w:val="none" w:sz="0" w:space="0" w:color="auto"/>
                                <w:right w:val="none" w:sz="0" w:space="0" w:color="auto"/>
                              </w:divBdr>
                              <w:divsChild>
                                <w:div w:id="4846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0950">
                          <w:marLeft w:val="0"/>
                          <w:marRight w:val="0"/>
                          <w:marTop w:val="0"/>
                          <w:marBottom w:val="0"/>
                          <w:divBdr>
                            <w:top w:val="single" w:sz="6" w:space="0" w:color="FFFFFF"/>
                            <w:left w:val="single" w:sz="6" w:space="0" w:color="FFFFFF"/>
                            <w:bottom w:val="single" w:sz="6" w:space="0" w:color="EEEEEE"/>
                            <w:right w:val="single" w:sz="6" w:space="0" w:color="FFFFFF"/>
                          </w:divBdr>
                          <w:divsChild>
                            <w:div w:id="232590416">
                              <w:marLeft w:val="0"/>
                              <w:marRight w:val="0"/>
                              <w:marTop w:val="0"/>
                              <w:marBottom w:val="0"/>
                              <w:divBdr>
                                <w:top w:val="none" w:sz="0" w:space="0" w:color="auto"/>
                                <w:left w:val="none" w:sz="0" w:space="0" w:color="auto"/>
                                <w:bottom w:val="none" w:sz="0" w:space="0" w:color="auto"/>
                                <w:right w:val="none" w:sz="0" w:space="0" w:color="auto"/>
                              </w:divBdr>
                              <w:divsChild>
                                <w:div w:id="1102727971">
                                  <w:marLeft w:val="0"/>
                                  <w:marRight w:val="0"/>
                                  <w:marTop w:val="0"/>
                                  <w:marBottom w:val="192"/>
                                  <w:divBdr>
                                    <w:top w:val="none" w:sz="0" w:space="0" w:color="auto"/>
                                    <w:left w:val="none" w:sz="0" w:space="0" w:color="auto"/>
                                    <w:bottom w:val="none" w:sz="0" w:space="0" w:color="auto"/>
                                    <w:right w:val="none" w:sz="0" w:space="0" w:color="auto"/>
                                  </w:divBdr>
                                </w:div>
                              </w:divsChild>
                            </w:div>
                            <w:div w:id="1365712154">
                              <w:marLeft w:val="0"/>
                              <w:marRight w:val="0"/>
                              <w:marTop w:val="0"/>
                              <w:marBottom w:val="0"/>
                              <w:divBdr>
                                <w:top w:val="none" w:sz="0" w:space="0" w:color="auto"/>
                                <w:left w:val="none" w:sz="0" w:space="0" w:color="auto"/>
                                <w:bottom w:val="none" w:sz="0" w:space="0" w:color="auto"/>
                                <w:right w:val="none" w:sz="0" w:space="0" w:color="auto"/>
                              </w:divBdr>
                              <w:divsChild>
                                <w:div w:id="15117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48761">
                          <w:marLeft w:val="0"/>
                          <w:marRight w:val="0"/>
                          <w:marTop w:val="0"/>
                          <w:marBottom w:val="0"/>
                          <w:divBdr>
                            <w:top w:val="single" w:sz="6" w:space="0" w:color="FFFFFF"/>
                            <w:left w:val="single" w:sz="6" w:space="0" w:color="FFFFFF"/>
                            <w:bottom w:val="single" w:sz="6" w:space="0" w:color="EEEEEE"/>
                            <w:right w:val="single" w:sz="6" w:space="0" w:color="FFFFFF"/>
                          </w:divBdr>
                          <w:divsChild>
                            <w:div w:id="932280470">
                              <w:marLeft w:val="0"/>
                              <w:marRight w:val="0"/>
                              <w:marTop w:val="0"/>
                              <w:marBottom w:val="0"/>
                              <w:divBdr>
                                <w:top w:val="none" w:sz="0" w:space="0" w:color="auto"/>
                                <w:left w:val="none" w:sz="0" w:space="0" w:color="auto"/>
                                <w:bottom w:val="none" w:sz="0" w:space="0" w:color="auto"/>
                                <w:right w:val="none" w:sz="0" w:space="0" w:color="auto"/>
                              </w:divBdr>
                              <w:divsChild>
                                <w:div w:id="1510683576">
                                  <w:marLeft w:val="0"/>
                                  <w:marRight w:val="0"/>
                                  <w:marTop w:val="0"/>
                                  <w:marBottom w:val="192"/>
                                  <w:divBdr>
                                    <w:top w:val="none" w:sz="0" w:space="0" w:color="auto"/>
                                    <w:left w:val="none" w:sz="0" w:space="0" w:color="auto"/>
                                    <w:bottom w:val="none" w:sz="0" w:space="0" w:color="auto"/>
                                    <w:right w:val="none" w:sz="0" w:space="0" w:color="auto"/>
                                  </w:divBdr>
                                </w:div>
                              </w:divsChild>
                            </w:div>
                            <w:div w:id="539364440">
                              <w:marLeft w:val="0"/>
                              <w:marRight w:val="0"/>
                              <w:marTop w:val="0"/>
                              <w:marBottom w:val="0"/>
                              <w:divBdr>
                                <w:top w:val="none" w:sz="0" w:space="0" w:color="auto"/>
                                <w:left w:val="none" w:sz="0" w:space="0" w:color="auto"/>
                                <w:bottom w:val="none" w:sz="0" w:space="0" w:color="auto"/>
                                <w:right w:val="none" w:sz="0" w:space="0" w:color="auto"/>
                              </w:divBdr>
                              <w:divsChild>
                                <w:div w:id="10785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4994">
                          <w:marLeft w:val="0"/>
                          <w:marRight w:val="0"/>
                          <w:marTop w:val="0"/>
                          <w:marBottom w:val="0"/>
                          <w:divBdr>
                            <w:top w:val="single" w:sz="6" w:space="0" w:color="FFFFFF"/>
                            <w:left w:val="single" w:sz="6" w:space="0" w:color="FFFFFF"/>
                            <w:bottom w:val="single" w:sz="6" w:space="0" w:color="EEEEEE"/>
                            <w:right w:val="single" w:sz="6" w:space="0" w:color="FFFFFF"/>
                          </w:divBdr>
                          <w:divsChild>
                            <w:div w:id="675616087">
                              <w:marLeft w:val="0"/>
                              <w:marRight w:val="0"/>
                              <w:marTop w:val="0"/>
                              <w:marBottom w:val="0"/>
                              <w:divBdr>
                                <w:top w:val="none" w:sz="0" w:space="0" w:color="auto"/>
                                <w:left w:val="none" w:sz="0" w:space="0" w:color="auto"/>
                                <w:bottom w:val="none" w:sz="0" w:space="0" w:color="auto"/>
                                <w:right w:val="none" w:sz="0" w:space="0" w:color="auto"/>
                              </w:divBdr>
                              <w:divsChild>
                                <w:div w:id="1299148075">
                                  <w:marLeft w:val="0"/>
                                  <w:marRight w:val="0"/>
                                  <w:marTop w:val="0"/>
                                  <w:marBottom w:val="192"/>
                                  <w:divBdr>
                                    <w:top w:val="none" w:sz="0" w:space="0" w:color="auto"/>
                                    <w:left w:val="none" w:sz="0" w:space="0" w:color="auto"/>
                                    <w:bottom w:val="none" w:sz="0" w:space="0" w:color="auto"/>
                                    <w:right w:val="none" w:sz="0" w:space="0" w:color="auto"/>
                                  </w:divBdr>
                                </w:div>
                              </w:divsChild>
                            </w:div>
                            <w:div w:id="1492260267">
                              <w:marLeft w:val="0"/>
                              <w:marRight w:val="0"/>
                              <w:marTop w:val="0"/>
                              <w:marBottom w:val="0"/>
                              <w:divBdr>
                                <w:top w:val="none" w:sz="0" w:space="0" w:color="auto"/>
                                <w:left w:val="none" w:sz="0" w:space="0" w:color="auto"/>
                                <w:bottom w:val="none" w:sz="0" w:space="0" w:color="auto"/>
                                <w:right w:val="none" w:sz="0" w:space="0" w:color="auto"/>
                              </w:divBdr>
                              <w:divsChild>
                                <w:div w:id="11533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1229">
                          <w:marLeft w:val="0"/>
                          <w:marRight w:val="0"/>
                          <w:marTop w:val="0"/>
                          <w:marBottom w:val="0"/>
                          <w:divBdr>
                            <w:top w:val="single" w:sz="6" w:space="0" w:color="FFFFFF"/>
                            <w:left w:val="single" w:sz="6" w:space="0" w:color="FFFFFF"/>
                            <w:bottom w:val="single" w:sz="6" w:space="0" w:color="EEEEEE"/>
                            <w:right w:val="single" w:sz="6" w:space="0" w:color="FFFFFF"/>
                          </w:divBdr>
                          <w:divsChild>
                            <w:div w:id="1451777112">
                              <w:marLeft w:val="0"/>
                              <w:marRight w:val="0"/>
                              <w:marTop w:val="0"/>
                              <w:marBottom w:val="0"/>
                              <w:divBdr>
                                <w:top w:val="none" w:sz="0" w:space="0" w:color="auto"/>
                                <w:left w:val="none" w:sz="0" w:space="0" w:color="auto"/>
                                <w:bottom w:val="none" w:sz="0" w:space="0" w:color="auto"/>
                                <w:right w:val="none" w:sz="0" w:space="0" w:color="auto"/>
                              </w:divBdr>
                              <w:divsChild>
                                <w:div w:id="169673579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03537">
      <w:bodyDiv w:val="1"/>
      <w:marLeft w:val="0"/>
      <w:marRight w:val="0"/>
      <w:marTop w:val="0"/>
      <w:marBottom w:val="0"/>
      <w:divBdr>
        <w:top w:val="none" w:sz="0" w:space="0" w:color="auto"/>
        <w:left w:val="none" w:sz="0" w:space="0" w:color="auto"/>
        <w:bottom w:val="none" w:sz="0" w:space="0" w:color="auto"/>
        <w:right w:val="none" w:sz="0" w:space="0" w:color="auto"/>
      </w:divBdr>
    </w:div>
    <w:div w:id="1767652974">
      <w:bodyDiv w:val="1"/>
      <w:marLeft w:val="0"/>
      <w:marRight w:val="0"/>
      <w:marTop w:val="0"/>
      <w:marBottom w:val="0"/>
      <w:divBdr>
        <w:top w:val="none" w:sz="0" w:space="0" w:color="auto"/>
        <w:left w:val="none" w:sz="0" w:space="0" w:color="auto"/>
        <w:bottom w:val="none" w:sz="0" w:space="0" w:color="auto"/>
        <w:right w:val="none" w:sz="0" w:space="0" w:color="auto"/>
      </w:divBdr>
      <w:divsChild>
        <w:div w:id="207959160">
          <w:marLeft w:val="0"/>
          <w:marRight w:val="0"/>
          <w:marTop w:val="0"/>
          <w:marBottom w:val="0"/>
          <w:divBdr>
            <w:top w:val="none" w:sz="0" w:space="0" w:color="auto"/>
            <w:left w:val="none" w:sz="0" w:space="0" w:color="auto"/>
            <w:bottom w:val="none" w:sz="0" w:space="0" w:color="auto"/>
            <w:right w:val="none" w:sz="0" w:space="0" w:color="auto"/>
          </w:divBdr>
          <w:divsChild>
            <w:div w:id="540633980">
              <w:marLeft w:val="0"/>
              <w:marRight w:val="0"/>
              <w:marTop w:val="0"/>
              <w:marBottom w:val="0"/>
              <w:divBdr>
                <w:top w:val="none" w:sz="0" w:space="0" w:color="auto"/>
                <w:left w:val="none" w:sz="0" w:space="0" w:color="auto"/>
                <w:bottom w:val="none" w:sz="0" w:space="0" w:color="auto"/>
                <w:right w:val="none" w:sz="0" w:space="0" w:color="auto"/>
              </w:divBdr>
              <w:divsChild>
                <w:div w:id="2009745857">
                  <w:marLeft w:val="0"/>
                  <w:marRight w:val="0"/>
                  <w:marTop w:val="0"/>
                  <w:marBottom w:val="0"/>
                  <w:divBdr>
                    <w:top w:val="none" w:sz="0" w:space="0" w:color="auto"/>
                    <w:left w:val="none" w:sz="0" w:space="0" w:color="auto"/>
                    <w:bottom w:val="none" w:sz="0" w:space="0" w:color="auto"/>
                    <w:right w:val="none" w:sz="0" w:space="0" w:color="auto"/>
                  </w:divBdr>
                  <w:divsChild>
                    <w:div w:id="2011129810">
                      <w:marLeft w:val="0"/>
                      <w:marRight w:val="0"/>
                      <w:marTop w:val="0"/>
                      <w:marBottom w:val="0"/>
                      <w:divBdr>
                        <w:top w:val="none" w:sz="0" w:space="0" w:color="auto"/>
                        <w:left w:val="none" w:sz="0" w:space="0" w:color="auto"/>
                        <w:bottom w:val="none" w:sz="0" w:space="0" w:color="auto"/>
                        <w:right w:val="none" w:sz="0" w:space="0" w:color="auto"/>
                      </w:divBdr>
                      <w:divsChild>
                        <w:div w:id="1941641127">
                          <w:marLeft w:val="0"/>
                          <w:marRight w:val="0"/>
                          <w:marTop w:val="0"/>
                          <w:marBottom w:val="0"/>
                          <w:divBdr>
                            <w:top w:val="none" w:sz="0" w:space="0" w:color="auto"/>
                            <w:left w:val="none" w:sz="0" w:space="0" w:color="auto"/>
                            <w:bottom w:val="none" w:sz="0" w:space="0" w:color="auto"/>
                            <w:right w:val="none" w:sz="0" w:space="0" w:color="auto"/>
                          </w:divBdr>
                          <w:divsChild>
                            <w:div w:id="1690064895">
                              <w:marLeft w:val="0"/>
                              <w:marRight w:val="0"/>
                              <w:marTop w:val="0"/>
                              <w:marBottom w:val="0"/>
                              <w:divBdr>
                                <w:top w:val="none" w:sz="0" w:space="0" w:color="auto"/>
                                <w:left w:val="none" w:sz="0" w:space="0" w:color="auto"/>
                                <w:bottom w:val="none" w:sz="0" w:space="0" w:color="auto"/>
                                <w:right w:val="none" w:sz="0" w:space="0" w:color="auto"/>
                              </w:divBdr>
                              <w:divsChild>
                                <w:div w:id="964189407">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1546986318">
                                  <w:marLeft w:val="0"/>
                                  <w:marRight w:val="0"/>
                                  <w:marTop w:val="0"/>
                                  <w:marBottom w:val="0"/>
                                  <w:divBdr>
                                    <w:top w:val="none" w:sz="0" w:space="0" w:color="auto"/>
                                    <w:left w:val="none" w:sz="0" w:space="0" w:color="auto"/>
                                    <w:bottom w:val="none" w:sz="0" w:space="0" w:color="auto"/>
                                    <w:right w:val="none" w:sz="0" w:space="0" w:color="auto"/>
                                  </w:divBdr>
                                </w:div>
                                <w:div w:id="1802768753">
                                  <w:marLeft w:val="0"/>
                                  <w:marRight w:val="0"/>
                                  <w:marTop w:val="0"/>
                                  <w:marBottom w:val="0"/>
                                  <w:divBdr>
                                    <w:top w:val="none" w:sz="0" w:space="0" w:color="auto"/>
                                    <w:left w:val="none" w:sz="0" w:space="0" w:color="auto"/>
                                    <w:bottom w:val="none" w:sz="0" w:space="0" w:color="auto"/>
                                    <w:right w:val="none" w:sz="0" w:space="0" w:color="auto"/>
                                  </w:divBdr>
                                </w:div>
                                <w:div w:id="706026699">
                                  <w:marLeft w:val="0"/>
                                  <w:marRight w:val="0"/>
                                  <w:marTop w:val="0"/>
                                  <w:marBottom w:val="0"/>
                                  <w:divBdr>
                                    <w:top w:val="none" w:sz="0" w:space="0" w:color="auto"/>
                                    <w:left w:val="none" w:sz="0" w:space="0" w:color="auto"/>
                                    <w:bottom w:val="none" w:sz="0" w:space="0" w:color="auto"/>
                                    <w:right w:val="none" w:sz="0" w:space="0" w:color="auto"/>
                                  </w:divBdr>
                                </w:div>
                                <w:div w:id="807433853">
                                  <w:marLeft w:val="0"/>
                                  <w:marRight w:val="0"/>
                                  <w:marTop w:val="0"/>
                                  <w:marBottom w:val="0"/>
                                  <w:divBdr>
                                    <w:top w:val="none" w:sz="0" w:space="0" w:color="auto"/>
                                    <w:left w:val="none" w:sz="0" w:space="0" w:color="auto"/>
                                    <w:bottom w:val="none" w:sz="0" w:space="0" w:color="auto"/>
                                    <w:right w:val="none" w:sz="0" w:space="0" w:color="auto"/>
                                  </w:divBdr>
                                </w:div>
                                <w:div w:id="1048990623">
                                  <w:marLeft w:val="0"/>
                                  <w:marRight w:val="0"/>
                                  <w:marTop w:val="0"/>
                                  <w:marBottom w:val="0"/>
                                  <w:divBdr>
                                    <w:top w:val="none" w:sz="0" w:space="0" w:color="auto"/>
                                    <w:left w:val="none" w:sz="0" w:space="0" w:color="auto"/>
                                    <w:bottom w:val="none" w:sz="0" w:space="0" w:color="auto"/>
                                    <w:right w:val="none" w:sz="0" w:space="0" w:color="auto"/>
                                  </w:divBdr>
                                </w:div>
                                <w:div w:id="594049157">
                                  <w:marLeft w:val="0"/>
                                  <w:marRight w:val="0"/>
                                  <w:marTop w:val="0"/>
                                  <w:marBottom w:val="0"/>
                                  <w:divBdr>
                                    <w:top w:val="none" w:sz="0" w:space="0" w:color="auto"/>
                                    <w:left w:val="none" w:sz="0" w:space="0" w:color="auto"/>
                                    <w:bottom w:val="none" w:sz="0" w:space="0" w:color="auto"/>
                                    <w:right w:val="none" w:sz="0" w:space="0" w:color="auto"/>
                                  </w:divBdr>
                                </w:div>
                                <w:div w:id="10574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372855">
      <w:bodyDiv w:val="1"/>
      <w:marLeft w:val="0"/>
      <w:marRight w:val="0"/>
      <w:marTop w:val="0"/>
      <w:marBottom w:val="0"/>
      <w:divBdr>
        <w:top w:val="none" w:sz="0" w:space="0" w:color="auto"/>
        <w:left w:val="none" w:sz="0" w:space="0" w:color="auto"/>
        <w:bottom w:val="none" w:sz="0" w:space="0" w:color="auto"/>
        <w:right w:val="none" w:sz="0" w:space="0" w:color="auto"/>
      </w:divBdr>
      <w:divsChild>
        <w:div w:id="1602493234">
          <w:marLeft w:val="0"/>
          <w:marRight w:val="0"/>
          <w:marTop w:val="0"/>
          <w:marBottom w:val="0"/>
          <w:divBdr>
            <w:top w:val="none" w:sz="0" w:space="0" w:color="auto"/>
            <w:left w:val="none" w:sz="0" w:space="0" w:color="auto"/>
            <w:bottom w:val="none" w:sz="0" w:space="0" w:color="auto"/>
            <w:right w:val="none" w:sz="0" w:space="0" w:color="auto"/>
          </w:divBdr>
          <w:divsChild>
            <w:div w:id="48842839">
              <w:marLeft w:val="0"/>
              <w:marRight w:val="0"/>
              <w:marTop w:val="0"/>
              <w:marBottom w:val="0"/>
              <w:divBdr>
                <w:top w:val="none" w:sz="0" w:space="0" w:color="auto"/>
                <w:left w:val="none" w:sz="0" w:space="0" w:color="auto"/>
                <w:bottom w:val="none" w:sz="0" w:space="0" w:color="auto"/>
                <w:right w:val="none" w:sz="0" w:space="0" w:color="auto"/>
              </w:divBdr>
              <w:divsChild>
                <w:div w:id="1037659644">
                  <w:marLeft w:val="0"/>
                  <w:marRight w:val="0"/>
                  <w:marTop w:val="150"/>
                  <w:marBottom w:val="0"/>
                  <w:divBdr>
                    <w:top w:val="none" w:sz="0" w:space="0" w:color="auto"/>
                    <w:left w:val="none" w:sz="0" w:space="0" w:color="auto"/>
                    <w:bottom w:val="none" w:sz="0" w:space="0" w:color="auto"/>
                    <w:right w:val="none" w:sz="0" w:space="0" w:color="auto"/>
                  </w:divBdr>
                  <w:divsChild>
                    <w:div w:id="1039546437">
                      <w:marLeft w:val="-150"/>
                      <w:marRight w:val="0"/>
                      <w:marTop w:val="0"/>
                      <w:marBottom w:val="0"/>
                      <w:divBdr>
                        <w:top w:val="none" w:sz="0" w:space="0" w:color="auto"/>
                        <w:left w:val="none" w:sz="0" w:space="0" w:color="auto"/>
                        <w:bottom w:val="none" w:sz="0" w:space="0" w:color="auto"/>
                        <w:right w:val="none" w:sz="0" w:space="0" w:color="auto"/>
                      </w:divBdr>
                      <w:divsChild>
                        <w:div w:id="245501197">
                          <w:marLeft w:val="0"/>
                          <w:marRight w:val="0"/>
                          <w:marTop w:val="0"/>
                          <w:marBottom w:val="0"/>
                          <w:divBdr>
                            <w:top w:val="none" w:sz="0" w:space="0" w:color="auto"/>
                            <w:left w:val="none" w:sz="0" w:space="0" w:color="auto"/>
                            <w:bottom w:val="none" w:sz="0" w:space="0" w:color="auto"/>
                            <w:right w:val="none" w:sz="0" w:space="0" w:color="auto"/>
                          </w:divBdr>
                          <w:divsChild>
                            <w:div w:id="1794983641">
                              <w:marLeft w:val="0"/>
                              <w:marRight w:val="0"/>
                              <w:marTop w:val="0"/>
                              <w:marBottom w:val="0"/>
                              <w:divBdr>
                                <w:top w:val="none" w:sz="0" w:space="0" w:color="auto"/>
                                <w:left w:val="none" w:sz="0" w:space="0" w:color="auto"/>
                                <w:bottom w:val="none" w:sz="0" w:space="0" w:color="auto"/>
                                <w:right w:val="none" w:sz="0" w:space="0" w:color="auto"/>
                              </w:divBdr>
                              <w:divsChild>
                                <w:div w:id="517433090">
                                  <w:marLeft w:val="0"/>
                                  <w:marRight w:val="0"/>
                                  <w:marTop w:val="0"/>
                                  <w:marBottom w:val="0"/>
                                  <w:divBdr>
                                    <w:top w:val="none" w:sz="0" w:space="0" w:color="auto"/>
                                    <w:left w:val="none" w:sz="0" w:space="0" w:color="auto"/>
                                    <w:bottom w:val="none" w:sz="0" w:space="0" w:color="auto"/>
                                    <w:right w:val="none" w:sz="0" w:space="0" w:color="auto"/>
                                  </w:divBdr>
                                  <w:divsChild>
                                    <w:div w:id="4227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053641">
      <w:bodyDiv w:val="1"/>
      <w:marLeft w:val="0"/>
      <w:marRight w:val="0"/>
      <w:marTop w:val="0"/>
      <w:marBottom w:val="0"/>
      <w:divBdr>
        <w:top w:val="none" w:sz="0" w:space="0" w:color="auto"/>
        <w:left w:val="none" w:sz="0" w:space="0" w:color="auto"/>
        <w:bottom w:val="none" w:sz="0" w:space="0" w:color="auto"/>
        <w:right w:val="none" w:sz="0" w:space="0" w:color="auto"/>
      </w:divBdr>
      <w:divsChild>
        <w:div w:id="1015231828">
          <w:marLeft w:val="0"/>
          <w:marRight w:val="0"/>
          <w:marTop w:val="0"/>
          <w:marBottom w:val="0"/>
          <w:divBdr>
            <w:top w:val="none" w:sz="0" w:space="0" w:color="auto"/>
            <w:left w:val="none" w:sz="0" w:space="0" w:color="auto"/>
            <w:bottom w:val="none" w:sz="0" w:space="0" w:color="auto"/>
            <w:right w:val="none" w:sz="0" w:space="0" w:color="auto"/>
          </w:divBdr>
          <w:divsChild>
            <w:div w:id="371198828">
              <w:marLeft w:val="0"/>
              <w:marRight w:val="0"/>
              <w:marTop w:val="0"/>
              <w:marBottom w:val="0"/>
              <w:divBdr>
                <w:top w:val="none" w:sz="0" w:space="0" w:color="auto"/>
                <w:left w:val="none" w:sz="0" w:space="0" w:color="auto"/>
                <w:bottom w:val="none" w:sz="0" w:space="0" w:color="auto"/>
                <w:right w:val="none" w:sz="0" w:space="0" w:color="auto"/>
              </w:divBdr>
              <w:divsChild>
                <w:div w:id="103883472">
                  <w:marLeft w:val="0"/>
                  <w:marRight w:val="0"/>
                  <w:marTop w:val="150"/>
                  <w:marBottom w:val="0"/>
                  <w:divBdr>
                    <w:top w:val="none" w:sz="0" w:space="0" w:color="auto"/>
                    <w:left w:val="none" w:sz="0" w:space="0" w:color="auto"/>
                    <w:bottom w:val="none" w:sz="0" w:space="0" w:color="auto"/>
                    <w:right w:val="none" w:sz="0" w:space="0" w:color="auto"/>
                  </w:divBdr>
                  <w:divsChild>
                    <w:div w:id="515655852">
                      <w:marLeft w:val="-150"/>
                      <w:marRight w:val="0"/>
                      <w:marTop w:val="0"/>
                      <w:marBottom w:val="0"/>
                      <w:divBdr>
                        <w:top w:val="none" w:sz="0" w:space="0" w:color="auto"/>
                        <w:left w:val="none" w:sz="0" w:space="0" w:color="auto"/>
                        <w:bottom w:val="none" w:sz="0" w:space="0" w:color="auto"/>
                        <w:right w:val="none" w:sz="0" w:space="0" w:color="auto"/>
                      </w:divBdr>
                      <w:divsChild>
                        <w:div w:id="2109084437">
                          <w:marLeft w:val="0"/>
                          <w:marRight w:val="0"/>
                          <w:marTop w:val="0"/>
                          <w:marBottom w:val="0"/>
                          <w:divBdr>
                            <w:top w:val="none" w:sz="0" w:space="0" w:color="auto"/>
                            <w:left w:val="none" w:sz="0" w:space="0" w:color="auto"/>
                            <w:bottom w:val="none" w:sz="0" w:space="0" w:color="auto"/>
                            <w:right w:val="none" w:sz="0" w:space="0" w:color="auto"/>
                          </w:divBdr>
                          <w:divsChild>
                            <w:div w:id="663971093">
                              <w:marLeft w:val="0"/>
                              <w:marRight w:val="0"/>
                              <w:marTop w:val="0"/>
                              <w:marBottom w:val="0"/>
                              <w:divBdr>
                                <w:top w:val="none" w:sz="0" w:space="0" w:color="auto"/>
                                <w:left w:val="none" w:sz="0" w:space="0" w:color="auto"/>
                                <w:bottom w:val="none" w:sz="0" w:space="0" w:color="auto"/>
                                <w:right w:val="none" w:sz="0" w:space="0" w:color="auto"/>
                              </w:divBdr>
                              <w:divsChild>
                                <w:div w:id="781723208">
                                  <w:marLeft w:val="0"/>
                                  <w:marRight w:val="0"/>
                                  <w:marTop w:val="0"/>
                                  <w:marBottom w:val="0"/>
                                  <w:divBdr>
                                    <w:top w:val="none" w:sz="0" w:space="0" w:color="auto"/>
                                    <w:left w:val="none" w:sz="0" w:space="0" w:color="auto"/>
                                    <w:bottom w:val="none" w:sz="0" w:space="0" w:color="auto"/>
                                    <w:right w:val="none" w:sz="0" w:space="0" w:color="auto"/>
                                  </w:divBdr>
                                  <w:divsChild>
                                    <w:div w:id="1959486952">
                                      <w:marLeft w:val="0"/>
                                      <w:marRight w:val="0"/>
                                      <w:marTop w:val="0"/>
                                      <w:marBottom w:val="0"/>
                                      <w:divBdr>
                                        <w:top w:val="none" w:sz="0" w:space="0" w:color="auto"/>
                                        <w:left w:val="none" w:sz="0" w:space="0" w:color="auto"/>
                                        <w:bottom w:val="none" w:sz="0" w:space="0" w:color="auto"/>
                                        <w:right w:val="none" w:sz="0" w:space="0" w:color="auto"/>
                                      </w:divBdr>
                                      <w:divsChild>
                                        <w:div w:id="447310041">
                                          <w:marLeft w:val="-150"/>
                                          <w:marRight w:val="0"/>
                                          <w:marTop w:val="0"/>
                                          <w:marBottom w:val="0"/>
                                          <w:divBdr>
                                            <w:top w:val="none" w:sz="0" w:space="0" w:color="auto"/>
                                            <w:left w:val="none" w:sz="0" w:space="0" w:color="auto"/>
                                            <w:bottom w:val="none" w:sz="0" w:space="0" w:color="auto"/>
                                            <w:right w:val="none" w:sz="0" w:space="0" w:color="auto"/>
                                          </w:divBdr>
                                          <w:divsChild>
                                            <w:div w:id="13823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231292">
      <w:bodyDiv w:val="1"/>
      <w:marLeft w:val="0"/>
      <w:marRight w:val="0"/>
      <w:marTop w:val="0"/>
      <w:marBottom w:val="0"/>
      <w:divBdr>
        <w:top w:val="none" w:sz="0" w:space="0" w:color="auto"/>
        <w:left w:val="none" w:sz="0" w:space="0" w:color="auto"/>
        <w:bottom w:val="none" w:sz="0" w:space="0" w:color="auto"/>
        <w:right w:val="none" w:sz="0" w:space="0" w:color="auto"/>
      </w:divBdr>
    </w:div>
    <w:div w:id="1859075256">
      <w:bodyDiv w:val="1"/>
      <w:marLeft w:val="0"/>
      <w:marRight w:val="0"/>
      <w:marTop w:val="0"/>
      <w:marBottom w:val="0"/>
      <w:divBdr>
        <w:top w:val="none" w:sz="0" w:space="0" w:color="auto"/>
        <w:left w:val="none" w:sz="0" w:space="0" w:color="auto"/>
        <w:bottom w:val="none" w:sz="0" w:space="0" w:color="auto"/>
        <w:right w:val="none" w:sz="0" w:space="0" w:color="auto"/>
      </w:divBdr>
      <w:divsChild>
        <w:div w:id="599140021">
          <w:marLeft w:val="0"/>
          <w:marRight w:val="0"/>
          <w:marTop w:val="0"/>
          <w:marBottom w:val="0"/>
          <w:divBdr>
            <w:top w:val="none" w:sz="0" w:space="0" w:color="auto"/>
            <w:left w:val="none" w:sz="0" w:space="0" w:color="auto"/>
            <w:bottom w:val="none" w:sz="0" w:space="0" w:color="auto"/>
            <w:right w:val="none" w:sz="0" w:space="0" w:color="auto"/>
          </w:divBdr>
          <w:divsChild>
            <w:div w:id="482356325">
              <w:marLeft w:val="0"/>
              <w:marRight w:val="0"/>
              <w:marTop w:val="0"/>
              <w:marBottom w:val="0"/>
              <w:divBdr>
                <w:top w:val="none" w:sz="0" w:space="0" w:color="auto"/>
                <w:left w:val="none" w:sz="0" w:space="0" w:color="auto"/>
                <w:bottom w:val="none" w:sz="0" w:space="0" w:color="auto"/>
                <w:right w:val="none" w:sz="0" w:space="0" w:color="auto"/>
              </w:divBdr>
              <w:divsChild>
                <w:div w:id="17180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8783">
      <w:bodyDiv w:val="1"/>
      <w:marLeft w:val="0"/>
      <w:marRight w:val="0"/>
      <w:marTop w:val="0"/>
      <w:marBottom w:val="0"/>
      <w:divBdr>
        <w:top w:val="none" w:sz="0" w:space="0" w:color="auto"/>
        <w:left w:val="none" w:sz="0" w:space="0" w:color="auto"/>
        <w:bottom w:val="none" w:sz="0" w:space="0" w:color="auto"/>
        <w:right w:val="none" w:sz="0" w:space="0" w:color="auto"/>
      </w:divBdr>
    </w:div>
    <w:div w:id="2069835912">
      <w:bodyDiv w:val="1"/>
      <w:marLeft w:val="0"/>
      <w:marRight w:val="0"/>
      <w:marTop w:val="0"/>
      <w:marBottom w:val="0"/>
      <w:divBdr>
        <w:top w:val="none" w:sz="0" w:space="0" w:color="auto"/>
        <w:left w:val="none" w:sz="0" w:space="0" w:color="auto"/>
        <w:bottom w:val="none" w:sz="0" w:space="0" w:color="auto"/>
        <w:right w:val="none" w:sz="0" w:space="0" w:color="auto"/>
      </w:divBdr>
    </w:div>
    <w:div w:id="21056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hs.gov/healthcare/rights/youngadults/index.html" TargetMode="External"/><Relationship Id="rId18" Type="http://schemas.openxmlformats.org/officeDocument/2006/relationships/hyperlink" Target="http://www.cdc.gov/actearly" TargetMode="External"/><Relationship Id="rId26" Type="http://schemas.openxmlformats.org/officeDocument/2006/relationships/hyperlink" Target="http://www.pluk.org/" TargetMode="External"/><Relationship Id="rId39" Type="http://schemas.openxmlformats.org/officeDocument/2006/relationships/hyperlink" Target="file:///C:\Users\meg.traci\AppData\Local\Microsoft\Windows\Temporary%20Internet%20Files\Content.Outlook\AAFZ7WYA\:%20http:\www.ncoa.org\improve-health\center-for-healthy-%20aging\%20falls-prevention\state-coalitions-map\montana.html" TargetMode="External"/><Relationship Id="rId3" Type="http://schemas.openxmlformats.org/officeDocument/2006/relationships/styles" Target="styles.xml"/><Relationship Id="rId21" Type="http://schemas.openxmlformats.org/officeDocument/2006/relationships/hyperlink" Target="http://www.dphhs.mt.gov/publichealth/cshs/documents/CSHCNNeedsinMontanaSummary.pdf" TargetMode="External"/><Relationship Id="rId34" Type="http://schemas.openxmlformats.org/officeDocument/2006/relationships/hyperlink" Target="http://www.dphhs.mt.gov/hcsd/childcare/advisorycouncil.shtml" TargetMode="External"/><Relationship Id="rId42" Type="http://schemas.openxmlformats.org/officeDocument/2006/relationships/hyperlink" Target="http://archrespite.org/lifespan-programs" TargetMode="External"/><Relationship Id="rId47" Type="http://schemas.openxmlformats.org/officeDocument/2006/relationships/hyperlink" Target="http://www.ada.gov/2010ADAstandards_index.htm" TargetMode="External"/><Relationship Id="rId7" Type="http://schemas.openxmlformats.org/officeDocument/2006/relationships/footnotes" Target="footnotes.xml"/><Relationship Id="rId12" Type="http://schemas.openxmlformats.org/officeDocument/2006/relationships/hyperlink" Target="https://www.healthcare.gov/how-can-i-get-coverage-outside-of-open-enrollment/" TargetMode="External"/><Relationship Id="rId17" Type="http://schemas.openxmlformats.org/officeDocument/2006/relationships/image" Target="media/image2.gif"/><Relationship Id="rId25" Type="http://schemas.openxmlformats.org/officeDocument/2006/relationships/hyperlink" Target="http://www.childfindidea.org/" TargetMode="External"/><Relationship Id="rId33" Type="http://schemas.openxmlformats.org/officeDocument/2006/relationships/hyperlink" Target="http://en.wikipedia.org/wiki/United_Nations_Development_Programme" TargetMode="External"/><Relationship Id="rId38" Type="http://schemas.openxmlformats.org/officeDocument/2006/relationships/hyperlink" Target="http://www.dphhs.mt.gov/publichealth/diabetes/advisorycoalition.shtml" TargetMode="External"/><Relationship Id="rId46" Type="http://schemas.openxmlformats.org/officeDocument/2006/relationships/hyperlink" Target="http://prevention.mt.gov/resource/coalitions/index.php"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hdwg.org/catalyst/about/healthy-people-2010" TargetMode="External"/><Relationship Id="rId29" Type="http://schemas.openxmlformats.org/officeDocument/2006/relationships/hyperlink" Target="http://specialchildren.about.com/od/specialeducation/g/LRE.htm" TargetMode="External"/><Relationship Id="rId41" Type="http://schemas.openxmlformats.org/officeDocument/2006/relationships/hyperlink" Target="http://www.dphhs.mt.gov/ems/prevention/documents/StatePreventionPla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ds.cdc.gov" TargetMode="External"/><Relationship Id="rId24" Type="http://schemas.openxmlformats.org/officeDocument/2006/relationships/hyperlink" Target="http://specialchildren.about.com/od/specialeducation/f/What-Is-Special-Education.htm" TargetMode="External"/><Relationship Id="rId32" Type="http://schemas.openxmlformats.org/officeDocument/2006/relationships/hyperlink" Target="http://www.pluk.org/Pubs/MT_SPED_Handbook_2005.pdf" TargetMode="External"/><Relationship Id="rId37" Type="http://schemas.openxmlformats.org/officeDocument/2006/relationships/hyperlink" Target="http://www.mtcoh.org/" TargetMode="External"/><Relationship Id="rId40" Type="http://schemas.openxmlformats.org/officeDocument/2006/relationships/hyperlink" Target="http://www.dphhs.mt.gov/boardscouncils/montanahealthcoalition.shtml" TargetMode="External"/><Relationship Id="rId45" Type="http://schemas.openxmlformats.org/officeDocument/2006/relationships/hyperlink" Target="http://prevention.mt.gov/resource/coalitions/view.php?id=2371" TargetMode="External"/><Relationship Id="rId5" Type="http://schemas.openxmlformats.org/officeDocument/2006/relationships/settings" Target="settings.xml"/><Relationship Id="rId15" Type="http://schemas.openxmlformats.org/officeDocument/2006/relationships/hyperlink" Target="http://www.cms.gov/CCIIO/Programs-and-Initiatives/Health-Insurance-Market-Reforms/Medical-Loss-Ratio.html" TargetMode="External"/><Relationship Id="rId23" Type="http://schemas.openxmlformats.org/officeDocument/2006/relationships/hyperlink" Target="http://www.parentcenterhub.org/repository/schoolage/" TargetMode="External"/><Relationship Id="rId28" Type="http://schemas.openxmlformats.org/officeDocument/2006/relationships/hyperlink" Target="http://specialchildren.about.com/od/ieps/a/IEPteam.htm" TargetMode="External"/><Relationship Id="rId36" Type="http://schemas.openxmlformats.org/officeDocument/2006/relationships/hyperlink" Target="http://www.dphhs.mt.gov/publichealth/cancer/comprehensivecancercontrolplan.shtm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ms.gov/cciio/resources/data-resources/ehb.html" TargetMode="External"/><Relationship Id="rId31" Type="http://schemas.openxmlformats.org/officeDocument/2006/relationships/hyperlink" Target="http://www.pluk.org/" TargetMode="External"/><Relationship Id="rId44" Type="http://schemas.openxmlformats.org/officeDocument/2006/relationships/hyperlink" Target="http://www.dphhs.mt.gov/newsevents/newsreleases2012/may/worksitehealthconference.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healthcare.gov/how-does-the-health-care-law-protect-me/" TargetMode="External"/><Relationship Id="rId22" Type="http://schemas.openxmlformats.org/officeDocument/2006/relationships/hyperlink" Target="http://www.parentcenterhub.org/repository/ei-overview/" TargetMode="External"/><Relationship Id="rId27" Type="http://schemas.openxmlformats.org/officeDocument/2006/relationships/hyperlink" Target="http://specialchildren.about.com/od/specialeducation/f/iepfaq01.htm" TargetMode="External"/><Relationship Id="rId30" Type="http://schemas.openxmlformats.org/officeDocument/2006/relationships/hyperlink" Target="http://specialchildren.about.com/od/specialeducation/p/specialedrooms.htm" TargetMode="External"/><Relationship Id="rId35" Type="http://schemas.openxmlformats.org/officeDocument/2006/relationships/hyperlink" Target="http://www.dphhs.mt.gov/publichealth/cardiovascular/index.shtml" TargetMode="External"/><Relationship Id="rId43" Type="http://schemas.openxmlformats.org/officeDocument/2006/relationships/hyperlink" Target="http://www.boydandrew.com/services/mpc/"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cdc.gov/nchs/data/hus/hus13.pdf%23018" TargetMode="External"/><Relationship Id="rId18" Type="http://schemas.openxmlformats.org/officeDocument/2006/relationships/hyperlink" Target="http://www.msn.com/?pc=skyp&amp;ocid=skydhp" TargetMode="External"/><Relationship Id="rId26" Type="http://schemas.openxmlformats.org/officeDocument/2006/relationships/hyperlink" Target="http://mchb.hrsa.gov/nsch/07cshcn/index.html" TargetMode="External"/><Relationship Id="rId39" Type="http://schemas.openxmlformats.org/officeDocument/2006/relationships/hyperlink" Target="http://www.healthcare.gov/news/factsheets/disparities06292011a.html" TargetMode="External"/><Relationship Id="rId21" Type="http://schemas.openxmlformats.org/officeDocument/2006/relationships/hyperlink" Target="http://www.opi.mt.gov/pdf/speced/sedata/09ChildCountData.pdf" TargetMode="External"/><Relationship Id="rId34" Type="http://schemas.openxmlformats.org/officeDocument/2006/relationships/hyperlink" Target="http://www.ilo.org/global/publications/ilo-bookstore/order-online/books/WCMS_091340/lang--en/index.htm" TargetMode="External"/><Relationship Id="rId42" Type="http://schemas.openxmlformats.org/officeDocument/2006/relationships/hyperlink" Target="http://www.thearc.org/document.doc?id=3140" TargetMode="External"/><Relationship Id="rId47" Type="http://schemas.openxmlformats.org/officeDocument/2006/relationships/hyperlink" Target="http://www.hhs.gov/news/press/2011pres/09/20110908a.html" TargetMode="External"/><Relationship Id="rId50" Type="http://schemas.openxmlformats.org/officeDocument/2006/relationships/hyperlink" Target="http://www.aapd.com/resources/press-room/aapd-releases-the-2013.html" TargetMode="External"/><Relationship Id="rId55" Type="http://schemas.openxmlformats.org/officeDocument/2006/relationships/hyperlink" Target="http://www07.grants.gov/search/search.do?&amp;mode=VIEW&amp;oppId=110713" TargetMode="External"/><Relationship Id="rId63" Type="http://schemas.openxmlformats.org/officeDocument/2006/relationships/hyperlink" Target="http://rtc.ruralinstitute.umt.edu/SelEm/factsheets/Working%20Well%20factsheet-FINAL%20saved%20as%20earlier%20word%20version%20to%20convert%20to%20pdf.pdf" TargetMode="External"/><Relationship Id="rId68" Type="http://schemas.openxmlformats.org/officeDocument/2006/relationships/hyperlink" Target="http://www.dphhs.mt.gov/publichealth/phep/documents/dphhseop.pdf" TargetMode="External"/><Relationship Id="rId7" Type="http://schemas.openxmlformats.org/officeDocument/2006/relationships/hyperlink" Target="http://www.dphhs.mt.gov/medicaid/" TargetMode="External"/><Relationship Id="rId71" Type="http://schemas.openxmlformats.org/officeDocument/2006/relationships/hyperlink" Target="http://www.dphhs.mt.gov/publichealth/phep/functionalneeds.shtml" TargetMode="External"/><Relationship Id="rId2" Type="http://schemas.openxmlformats.org/officeDocument/2006/relationships/hyperlink" Target="http://archive.hhs.gov/news/press/2005pres/20050726.html" TargetMode="External"/><Relationship Id="rId16" Type="http://schemas.openxmlformats.org/officeDocument/2006/relationships/hyperlink" Target="http://healthypeople.gov/2020/topicsobjectives2020/objectiveslist.aspx?topicId=9" TargetMode="External"/><Relationship Id="rId29" Type="http://schemas.openxmlformats.org/officeDocument/2006/relationships/hyperlink" Target="http://nces.ed.gov/programs/coe/pdf/coe_cgg.pdf" TargetMode="External"/><Relationship Id="rId1" Type="http://schemas.openxmlformats.org/officeDocument/2006/relationships/hyperlink" Target="http://www.cdc.gov/ncbddd/disabilityandhealth/pdf/aboutdhprogram508.pdf" TargetMode="External"/><Relationship Id="rId6" Type="http://schemas.openxmlformats.org/officeDocument/2006/relationships/hyperlink" Target="http://www.mathematica-mpr.com/publications/pdfs/health/MFP_2012_Annual.pdf" TargetMode="External"/><Relationship Id="rId11" Type="http://schemas.openxmlformats.org/officeDocument/2006/relationships/hyperlink" Target="http://www.cdc.gov/aging/pdf/state-aging-health-in-america-2013.pdf" TargetMode="External"/><Relationship Id="rId24" Type="http://schemas.openxmlformats.org/officeDocument/2006/relationships/hyperlink" Target="http://altarum.cvent.com/events/dataspeak-registration/event-summary-5041e07bfce543eb9e1f405f9ad19a2e.aspx" TargetMode="External"/><Relationship Id="rId32" Type="http://schemas.openxmlformats.org/officeDocument/2006/relationships/hyperlink" Target="http://www2.ed.gov/about/offices/list/ocr/data.html" TargetMode="External"/><Relationship Id="rId37" Type="http://schemas.openxmlformats.org/officeDocument/2006/relationships/hyperlink" Target="http://www.ncpad.org/" TargetMode="External"/><Relationship Id="rId40" Type="http://schemas.openxmlformats.org/officeDocument/2006/relationships/hyperlink" Target="http://ntl.bts.gov/DOCS/livbro.html" TargetMode="External"/><Relationship Id="rId45" Type="http://schemas.openxmlformats.org/officeDocument/2006/relationships/hyperlink" Target="http://www.brightfuturesforfamilies.org/pdf/BFFM-%20%20%20NCBDDDSummer2011.pdf" TargetMode="External"/><Relationship Id="rId53" Type="http://schemas.openxmlformats.org/officeDocument/2006/relationships/hyperlink" Target="http://www.un.org/esa/socdev/enable/disacc.htm" TargetMode="External"/><Relationship Id="rId58" Type="http://schemas.openxmlformats.org/officeDocument/2006/relationships/hyperlink" Target="file:///C:\Users\meg.traci\AppData\Local\Microsoft\Windows\Temporary%20Internet%20Files\Content.Outlook\AAFZ7WYA\www.phaboard.org" TargetMode="External"/><Relationship Id="rId66" Type="http://schemas.openxmlformats.org/officeDocument/2006/relationships/hyperlink" Target="http://www.ncsu.edu/project/design-projects/udi/center-for-universal-design/" TargetMode="External"/><Relationship Id="rId5" Type="http://schemas.openxmlformats.org/officeDocument/2006/relationships/hyperlink" Target="http://www.mathematica-mpr.com/health/moneyfollowsperson.asp" TargetMode="External"/><Relationship Id="rId15" Type="http://schemas.openxmlformats.org/officeDocument/2006/relationships/hyperlink" Target="http://www.cbo.gov/sites/default/files/cbofiles/attachments/43759-SupplementalSecurity.pdf" TargetMode="External"/><Relationship Id="rId23" Type="http://schemas.openxmlformats.org/officeDocument/2006/relationships/hyperlink" Target="http://www.mt.gov" TargetMode="External"/><Relationship Id="rId28" Type="http://schemas.openxmlformats.org/officeDocument/2006/relationships/hyperlink" Target="http://specialchildren.about.com/od/Special-Education/a/Special-Education-Services-In-Montana.htm" TargetMode="External"/><Relationship Id="rId36" Type="http://schemas.openxmlformats.org/officeDocument/2006/relationships/hyperlink" Target="http://harkin.senate.gov/issue/equalrights/Live_Independently.cfm" TargetMode="External"/><Relationship Id="rId49" Type="http://schemas.openxmlformats.org/officeDocument/2006/relationships/hyperlink" Target="http://akhealthpolicy.org/2012/02/08/new-study-finds-profound-income-divide-in-health-care-reform-law-will-help/" TargetMode="External"/><Relationship Id="rId57" Type="http://schemas.openxmlformats.org/officeDocument/2006/relationships/hyperlink" Target="http://www.dphhs.mt.gov/publichealth/accreditation/hb173pilot.shtml" TargetMode="External"/><Relationship Id="rId61" Type="http://schemas.openxmlformats.org/officeDocument/2006/relationships/hyperlink" Target="http://www.dphhs.mt.gov/ship/documents/StateHealthImprovementPlan.pdf" TargetMode="External"/><Relationship Id="rId10" Type="http://schemas.openxmlformats.org/officeDocument/2006/relationships/hyperlink" Target="http://www.census.gov/newsroom/releases/archives/american_community_survey_acs/cb13-29.html" TargetMode="External"/><Relationship Id="rId19" Type="http://schemas.openxmlformats.org/officeDocument/2006/relationships/hyperlink" Target="http://www.ilo.org/global/publications/ilo-bookstore/order-online/books/WCMS_091340/lang--en/index.htm" TargetMode="External"/><Relationship Id="rId31" Type="http://schemas.openxmlformats.org/officeDocument/2006/relationships/hyperlink" Target="http://www.cdc.gov/obesity/stateprograms/fundedstates/pdf/Montana-State-Profile.pdf" TargetMode="External"/><Relationship Id="rId44" Type="http://schemas.openxmlformats.org/officeDocument/2006/relationships/hyperlink" Target="http://www.cdc.gov/NCBDDD/AboutUs/birthdefects.html" TargetMode="External"/><Relationship Id="rId52" Type="http://schemas.openxmlformats.org/officeDocument/2006/relationships/hyperlink" Target="file:///C:\Users\meg.traci\AppData\Local\Microsoft\Windows\Temporary%20Internet%20Files\Content.Outlook\AAFZ7WYA\disability.gov@service.govdelivery.com" TargetMode="External"/><Relationship Id="rId60" Type="http://schemas.openxmlformats.org/officeDocument/2006/relationships/hyperlink" Target="http://healthyamericans.org/health-issues/wp-content/uploads/2013/04/MT-Fund-at-Work.pdf" TargetMode="External"/><Relationship Id="rId65" Type="http://schemas.openxmlformats.org/officeDocument/2006/relationships/hyperlink" Target="http://www.ada.gov/regs2010/ADAregs2010.htm" TargetMode="External"/><Relationship Id="rId4" Type="http://schemas.openxmlformats.org/officeDocument/2006/relationships/hyperlink" Target="http://pascenter.org/state_based_stats/olmstead/olmstead_home.php?state=montana" TargetMode="External"/><Relationship Id="rId9" Type="http://schemas.openxmlformats.org/officeDocument/2006/relationships/hyperlink" Target="http://www.ourfactsyourfuture.org/admin/uploadedPublications/5559_eag-0414.pdf" TargetMode="External"/><Relationship Id="rId14" Type="http://schemas.openxmlformats.org/officeDocument/2006/relationships/hyperlink" Target="http://www.cdc.gov/ncbddd/disabilityandhealth/family.html" TargetMode="External"/><Relationship Id="rId22" Type="http://schemas.openxmlformats.org/officeDocument/2006/relationships/hyperlink" Target="http://www.dphhs.mt.gov/publichealth/cshs/fundingandgoals.shtml" TargetMode="External"/><Relationship Id="rId27" Type="http://schemas.openxmlformats.org/officeDocument/2006/relationships/hyperlink" Target="http://www.parentcenterhub.org/repository/preschoolers%20" TargetMode="External"/><Relationship Id="rId30" Type="http://schemas.openxmlformats.org/officeDocument/2006/relationships/hyperlink" Target="http://opi.mt.gov/Programs/SpecialEd/" TargetMode="External"/><Relationship Id="rId35" Type="http://schemas.openxmlformats.org/officeDocument/2006/relationships/hyperlink" Target="http://www.aucd.org/docs/Section-by-Section%20full.pdf" TargetMode="External"/><Relationship Id="rId43" Type="http://schemas.openxmlformats.org/officeDocument/2006/relationships/hyperlink" Target="http://www.cdc.gov/mmwr/pdf/other/su6001.pdf" TargetMode="External"/><Relationship Id="rId48" Type="http://schemas.openxmlformats.org/officeDocument/2006/relationships/hyperlink" Target="http://www.kff.org/womenshealth/upload/7213-03.pdf" TargetMode="External"/><Relationship Id="rId56" Type="http://schemas.openxmlformats.org/officeDocument/2006/relationships/hyperlink" Target="http://www07.grants.gov/search/search.do?&amp;mode=VIEW&amp;oppId=119574" TargetMode="External"/><Relationship Id="rId64" Type="http://schemas.openxmlformats.org/officeDocument/2006/relationships/hyperlink" Target="http://www.cdc.gov/Features/Disabilities/" TargetMode="External"/><Relationship Id="rId69" Type="http://schemas.openxmlformats.org/officeDocument/2006/relationships/hyperlink" Target="http://www.dphhs.mt.gov/publichealth/phep/index.shtml" TargetMode="External"/><Relationship Id="rId8" Type="http://schemas.openxmlformats.org/officeDocument/2006/relationships/hyperlink" Target="http://kff.org/medicaid/state-indicator/medicaid-income-eligibility-limits-for-adults-at-application-as-of-april-1-2014/" TargetMode="External"/><Relationship Id="rId51" Type="http://schemas.openxmlformats.org/officeDocument/2006/relationships/hyperlink" Target="http://www.aapd.com/resources/press-room/press-releases/disability-equality-index-1.html" TargetMode="External"/><Relationship Id="rId72" Type="http://schemas.openxmlformats.org/officeDocument/2006/relationships/hyperlink" Target="http://mtdh.ruralinstitute.umt.edu/?page_id=123" TargetMode="External"/><Relationship Id="rId3" Type="http://schemas.openxmlformats.org/officeDocument/2006/relationships/hyperlink" Target="http://montana.gov/search.mcpx?q=Number%20of%20Montanans%20enrolled%20in%20Medicaid%20Program&amp;via=homepage&amp;cx=013380590290877010950%3A3ubczas3i44&amp;cof=FORID%3A11&amp;ie=UTF-8" TargetMode="External"/><Relationship Id="rId12" Type="http://schemas.openxmlformats.org/officeDocument/2006/relationships/hyperlink" Target="http://www.cdc.gov/aging/pdf/state-aging-health-in-america-2013.pdf" TargetMode="External"/><Relationship Id="rId17" Type="http://schemas.openxmlformats.org/officeDocument/2006/relationships/hyperlink" Target="http://www2.ed.gov/about/offices/list/ocr/data.html" TargetMode="External"/><Relationship Id="rId25" Type="http://schemas.openxmlformats.org/officeDocument/2006/relationships/hyperlink" Target="http://childhealthdata.org/browse/survey?s=2" TargetMode="External"/><Relationship Id="rId33" Type="http://schemas.openxmlformats.org/officeDocument/2006/relationships/hyperlink" Target="http://www.msn.com/?pc=skyp&amp;ocid=skydhp" TargetMode="External"/><Relationship Id="rId38" Type="http://schemas.openxmlformats.org/officeDocument/2006/relationships/hyperlink" Target="http://www.aaidd.org/intellectualdisabilitybook/" TargetMode="External"/><Relationship Id="rId46" Type="http://schemas.openxmlformats.org/officeDocument/2006/relationships/hyperlink" Target="http://www.hhs.gov/news/press/2011pres/06/20110629a.html" TargetMode="External"/><Relationship Id="rId59" Type="http://schemas.openxmlformats.org/officeDocument/2006/relationships/hyperlink" Target="http://www.dphhs.mt.gov/biennialreports/PHSDPresentation2013.pdf" TargetMode="External"/><Relationship Id="rId67" Type="http://schemas.openxmlformats.org/officeDocument/2006/relationships/hyperlink" Target="http://montanadma.org/sites/default/files/MERF_2012_v1.2_0.pdf" TargetMode="External"/><Relationship Id="rId20" Type="http://schemas.openxmlformats.org/officeDocument/2006/relationships/hyperlink" Target="http://www.annualreviews.org/doi/abs/10.1146/annurev.publhealth.26.021304.144505?journalCode=publhealth" TargetMode="External"/><Relationship Id="rId41" Type="http://schemas.openxmlformats.org/officeDocument/2006/relationships/hyperlink" Target="http://www.adrc-tae.org/tiki-wnload_file.php?fileId=29256" TargetMode="External"/><Relationship Id="rId54" Type="http://schemas.openxmlformats.org/officeDocument/2006/relationships/hyperlink" Target="http://www.unpei.org/PDF/institutioncapacity/Ways-to-increase-effectiveness-SD.pdf" TargetMode="External"/><Relationship Id="rId62" Type="http://schemas.openxmlformats.org/officeDocument/2006/relationships/hyperlink" Target="http://www.livingandworkingwell.org/living_well_program/living_well_history.cfm" TargetMode="External"/><Relationship Id="rId70" Type="http://schemas.openxmlformats.org/officeDocument/2006/relationships/hyperlink" Target="http://www.cdc.gov/phpr/capabilities/DSLR_capabilities_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85BF7-7878-42EA-A966-D34E36D7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23093</Words>
  <Characters>133712</Characters>
  <Application>Microsoft Office Word</Application>
  <DocSecurity>0</DocSecurity>
  <Lines>3109</Lines>
  <Paragraphs>1889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gARRITY</dc:creator>
  <cp:lastModifiedBy>Armstrong, Terrel</cp:lastModifiedBy>
  <cp:revision>2</cp:revision>
  <dcterms:created xsi:type="dcterms:W3CDTF">2014-11-10T16:49:00Z</dcterms:created>
  <dcterms:modified xsi:type="dcterms:W3CDTF">2014-11-10T16:49:00Z</dcterms:modified>
</cp:coreProperties>
</file>