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D6534" w14:textId="191A61D8" w:rsidR="000920B2" w:rsidRPr="000920B2" w:rsidRDefault="000920B2" w:rsidP="00023396">
      <w:pPr>
        <w:pStyle w:val="Heading1"/>
        <w:jc w:val="center"/>
        <w:rPr>
          <w:b/>
          <w:spacing w:val="31"/>
          <w:sz w:val="36"/>
          <w:szCs w:val="36"/>
        </w:rPr>
      </w:pPr>
      <w:r w:rsidRPr="00023396">
        <w:rPr>
          <w:b/>
          <w:color w:val="70AD47" w:themeColor="accent6"/>
          <w:sz w:val="40"/>
          <w:szCs w:val="40"/>
        </w:rPr>
        <w:t>Success Stories from</w:t>
      </w:r>
      <w:r w:rsidRPr="00023396">
        <w:rPr>
          <w:b/>
          <w:color w:val="70AD47" w:themeColor="accent6"/>
          <w:spacing w:val="-4"/>
          <w:sz w:val="40"/>
          <w:szCs w:val="40"/>
        </w:rPr>
        <w:t xml:space="preserve"> </w:t>
      </w:r>
      <w:r w:rsidRPr="00023396">
        <w:rPr>
          <w:b/>
          <w:color w:val="70AD47" w:themeColor="accent6"/>
          <w:sz w:val="40"/>
          <w:szCs w:val="40"/>
        </w:rPr>
        <w:t>the Montana Disability</w:t>
      </w:r>
      <w:r w:rsidRPr="00023396">
        <w:rPr>
          <w:b/>
          <w:color w:val="70AD47" w:themeColor="accent6"/>
          <w:spacing w:val="-2"/>
          <w:sz w:val="40"/>
          <w:szCs w:val="40"/>
        </w:rPr>
        <w:t xml:space="preserve"> </w:t>
      </w:r>
      <w:r w:rsidRPr="00023396">
        <w:rPr>
          <w:b/>
          <w:color w:val="70AD47" w:themeColor="accent6"/>
          <w:sz w:val="40"/>
          <w:szCs w:val="40"/>
        </w:rPr>
        <w:t>and Health Program</w:t>
      </w:r>
    </w:p>
    <w:p w14:paraId="58622ACA" w14:textId="105556F2" w:rsidR="00F94C1B" w:rsidRPr="002D5019" w:rsidRDefault="00EB4A49" w:rsidP="002D5019">
      <w:pPr>
        <w:pStyle w:val="Heading2"/>
        <w:jc w:val="center"/>
        <w:rPr>
          <w:b/>
          <w:sz w:val="32"/>
          <w:szCs w:val="32"/>
        </w:rPr>
      </w:pPr>
      <w:r>
        <w:rPr>
          <w:b/>
          <w:sz w:val="32"/>
          <w:szCs w:val="32"/>
        </w:rPr>
        <w:t xml:space="preserve">Improving </w:t>
      </w:r>
      <w:r w:rsidR="00F229DB">
        <w:rPr>
          <w:b/>
          <w:sz w:val="32"/>
          <w:szCs w:val="32"/>
        </w:rPr>
        <w:t xml:space="preserve">the Nutritional Health of </w:t>
      </w:r>
      <w:r>
        <w:rPr>
          <w:b/>
          <w:sz w:val="32"/>
          <w:szCs w:val="32"/>
        </w:rPr>
        <w:t xml:space="preserve">Individuals </w:t>
      </w:r>
      <w:r w:rsidR="0027337B">
        <w:rPr>
          <w:b/>
          <w:sz w:val="32"/>
          <w:szCs w:val="32"/>
        </w:rPr>
        <w:t xml:space="preserve">with I/DD </w:t>
      </w:r>
      <w:r>
        <w:rPr>
          <w:b/>
          <w:sz w:val="32"/>
          <w:szCs w:val="32"/>
        </w:rPr>
        <w:t>with Menu-AIDDS</w:t>
      </w:r>
    </w:p>
    <w:p w14:paraId="41D06392" w14:textId="491065DE" w:rsidR="001B0A17" w:rsidRPr="00B325B1" w:rsidRDefault="001B0A17" w:rsidP="000920B2">
      <w:pPr>
        <w:pStyle w:val="Heading3"/>
        <w:rPr>
          <w:b w:val="0"/>
          <w:color w:val="1F4E79" w:themeColor="accent1" w:themeShade="80"/>
        </w:rPr>
      </w:pPr>
      <w:r w:rsidRPr="00B325B1">
        <w:rPr>
          <w:color w:val="1F4E79" w:themeColor="accent1" w:themeShade="80"/>
        </w:rPr>
        <w:t>Public Health Issue</w:t>
      </w:r>
    </w:p>
    <w:p w14:paraId="178C6D2C" w14:textId="0BA8C700" w:rsidR="008F0696" w:rsidRPr="008F0696" w:rsidRDefault="003C3ED3" w:rsidP="008F0696">
      <w:pPr>
        <w:rPr>
          <w:noProof/>
          <w:color w:val="000000" w:themeColor="text1"/>
        </w:rPr>
      </w:pPr>
      <w:r w:rsidRPr="000920B2">
        <w:rPr>
          <w:b/>
          <w:noProof/>
          <w:color w:val="000000" w:themeColor="text1"/>
        </w:rPr>
        <mc:AlternateContent>
          <mc:Choice Requires="wps">
            <w:drawing>
              <wp:anchor distT="0" distB="0" distL="114300" distR="114300" simplePos="0" relativeHeight="251659264" behindDoc="0" locked="0" layoutInCell="1" allowOverlap="1" wp14:anchorId="1B4105BC" wp14:editId="22560E4B">
                <wp:simplePos x="0" y="0"/>
                <wp:positionH relativeFrom="column">
                  <wp:posOffset>4657090</wp:posOffset>
                </wp:positionH>
                <wp:positionV relativeFrom="paragraph">
                  <wp:posOffset>25400</wp:posOffset>
                </wp:positionV>
                <wp:extent cx="2276475" cy="4067175"/>
                <wp:effectExtent l="0" t="0" r="28575" b="28575"/>
                <wp:wrapSquare wrapText="bothSides"/>
                <wp:docPr id="1" name="Text Box 1" descr="“Living Well with a Disability has been a great experience. The 10-week program allows individuals with disabilities to create a healthy lifestyle plan, unique to their desires and strengths, to overcome every day and ongoing challenges, and to reach meaningful life goals. It is awesome!”&#10;~Darren Larson, LWD Facilitator"/>
                <wp:cNvGraphicFramePr/>
                <a:graphic xmlns:a="http://schemas.openxmlformats.org/drawingml/2006/main">
                  <a:graphicData uri="http://schemas.microsoft.com/office/word/2010/wordprocessingShape">
                    <wps:wsp>
                      <wps:cNvSpPr txBox="1"/>
                      <wps:spPr>
                        <a:xfrm>
                          <a:off x="0" y="0"/>
                          <a:ext cx="2276475" cy="406717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820D5FA" w14:textId="6A461D14" w:rsidR="00D763D0" w:rsidRDefault="008F0696" w:rsidP="008F0696">
                            <w:pPr>
                              <w:keepNext/>
                              <w:jc w:val="center"/>
                            </w:pPr>
                            <w:r w:rsidRPr="008F0696">
                              <w:rPr>
                                <w:i/>
                              </w:rPr>
                              <w:t xml:space="preserve">At Eastern Montana Industries, group home manager Steve </w:t>
                            </w:r>
                            <w:proofErr w:type="spellStart"/>
                            <w:r w:rsidRPr="008F0696">
                              <w:rPr>
                                <w:i/>
                              </w:rPr>
                              <w:t>Amick</w:t>
                            </w:r>
                            <w:proofErr w:type="spellEnd"/>
                            <w:r w:rsidRPr="008F0696">
                              <w:rPr>
                                <w:i/>
                              </w:rPr>
                              <w:t xml:space="preserve"> used the MENU-AIDDs program to improve dietary offerings, but he did not stop there. He increased resident involvement in the menu planning by researching traditional native vegetables with several American Indian residents. They put several varieties of squash on the menu and learned new recipes together. This is a culturally competent increase in vegetable consumption—a winning solution.</w:t>
                            </w:r>
                            <w:r w:rsidR="00D763D0" w:rsidRPr="00D763D0">
                              <w:rPr>
                                <w:noProof/>
                              </w:rPr>
                              <w:drawing>
                                <wp:inline distT="0" distB="0" distL="0" distR="0" wp14:anchorId="31381A09" wp14:editId="0A8135AD">
                                  <wp:extent cx="1930400" cy="1447800"/>
                                  <wp:effectExtent l="0" t="0" r="0" b="0"/>
                                  <wp:docPr id="2" name="Picture 2" descr="Young man in grocery store holding groc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34401" cy="1450800"/>
                                          </a:xfrm>
                                          <a:prstGeom prst="rect">
                                            <a:avLst/>
                                          </a:prstGeom>
                                          <a:noFill/>
                                          <a:ln>
                                            <a:noFill/>
                                          </a:ln>
                                        </pic:spPr>
                                      </pic:pic>
                                    </a:graphicData>
                                  </a:graphic>
                                </wp:inline>
                              </w:drawing>
                            </w:r>
                          </w:p>
                          <w:p w14:paraId="362E452D" w14:textId="0703CECA" w:rsidR="007A62EB" w:rsidRPr="007A62EB" w:rsidRDefault="007A62EB" w:rsidP="00F94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105BC" id="_x0000_t202" coordsize="21600,21600" o:spt="202" path="m,l,21600r21600,l21600,xe">
                <v:stroke joinstyle="miter"/>
                <v:path gradientshapeok="t" o:connecttype="rect"/>
              </v:shapetype>
              <v:shape id="Text Box 1" o:spid="_x0000_s1026" type="#_x0000_t202" alt="“Living Well with a Disability has been a great experience. The 10-week program allows individuals with disabilities to create a healthy lifestyle plan, unique to their desires and strengths, to overcome every day and ongoing challenges, and to reach meaningful life goals. It is awesome!”&#10;~Darren Larson, LWD Facilitator" style="position:absolute;margin-left:366.7pt;margin-top:2pt;width:179.25pt;height:3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SpKcAMAAAkHAAAOAAAAZHJzL2Uyb0RvYy54bWysVdtuGzcQfS/Qf5iyQJ8S3SrbjWI5UC04&#10;CCAkQe3CzxR3VkuES25ISrvqQ5EPaX8uX9JDruRL6pcEeVmRnJkzw8Mzo/NXXW1oxz5oZ+diPBgJ&#10;Yqtcoe1mLv68uXr+m6AQpS2kcZbnYs9BvLr48YfztpnxxFXOFOwJIDbM2mYuqhib2XAYVMW1DAPX&#10;sIWxdL6WEVu/GRZetkCvzXAyGp0OW+eLxjvFIeB02RvFRcYvS1bxXVkGjmTmArXF/PX5u07f4cW5&#10;nG28bCqtDmXIb6iiltoi6R3UUkZJW6//B1Vr5V1wZRwoVw9dWWrF+Q64zXj0xW2uK9lwvgvICc0d&#10;TeH7waq3u/eedIG3E2RljSe64S7S764jnBQcFNj6/Omfld6BX7plY6jVsSJJSx3kWhsd91TJQGtm&#10;i9ONZxmJu4a9hhR4QDcV03j0vGX+QHgqsF2TNMa1gbQtgFtspQk9anHE1BwoOlIJjQFbsTSx2pPR&#10;JYe4N0yNkfYZba3+uOXkGivWPlWsPWIhOQjPs93EKjxLdgeZgnQmxmJPhdxnJ2c3Lt1MVagJ7gzv&#10;FIwI5FYV1SwtHMqtyclp41DtgN5E0kjTcgDmT58//fvLz93i5d9L6ZGUVtIHh/JWt0u6kiqxJKPz&#10;SW9tE2ag/boB8bED0Yn7w3nAYZJRV/o6/UIgBDuUu79Ta3oehcPJ5Ox0enYiSME2HZ2ejbEBzvA+&#10;vPEhvmZXg/YA6Xu0Q1ap3K1C7F2PLilbcEYXV9qYvEktyJfG006ieUzMRQL8kZex1M7F6a8nowz8&#10;yJab+B5BKsX2KRRgGptScm7YQ2mJpp6OvEpPnnyM/YNLCDaz8kSdj7Nk7+RV4lZfE3jwv6/qa4L7&#10;eyAiZ3Y23gXX2kIET5RdfDjSW/b+eMcH907L2K27g0zWrthDPd718yw06krjhVcyxPfSY4BBMBB5&#10;fIdPiUabiyT+tBJUOf/XU+fJH3MFVkEtBuJchI9b6VmQeWMxcV6Mp9M0QfNmenI2wcY/tKwfWuy2&#10;vnSQDWYIqsvL5B/NcVl6V99idi9SVpikVcg9F/G4vIz9mMbsV7xYZCe0byPjyl43KkEnHpN+b7pb&#10;6ZuDyCP64607jk45+0LrvW+KtG6xja7UuRESwT2rB+Ixb3MrHf4b0kB/uM9e9/9gF/8BAAD//wMA&#10;UEsDBBQABgAIAAAAIQA013F43wAAAAoBAAAPAAAAZHJzL2Rvd25yZXYueG1sTI8xT8MwFIR3JP6D&#10;9ZDYqF0SAg15qRAVSKgTpUNHJ3aTQPwc2W4S+PW4E4ynO919V6xn07NRO99ZQlguBDBNtVUdNQj7&#10;j5ebB2A+SFKyt6QRvrWHdXl5Uchc2Yne9bgLDYsl5HOJ0IYw5Jz7utVG+oUdNEXvaJ2RIUrXcOXk&#10;FMtNz2+FyLiRHcWFVg76udX11+5kEF5/kqN4G/vtxvJssnJ0m8NnhXh9NT89Agt6Dn9hOONHdCgj&#10;U2VPpDzrEe6TJI1RhDReOvtitVwBqxCyNL0DXhb8/4XyFwAA//8DAFBLAQItABQABgAIAAAAIQC2&#10;gziS/gAAAOEBAAATAAAAAAAAAAAAAAAAAAAAAABbQ29udGVudF9UeXBlc10ueG1sUEsBAi0AFAAG&#10;AAgAAAAhADj9If/WAAAAlAEAAAsAAAAAAAAAAAAAAAAALwEAAF9yZWxzLy5yZWxzUEsBAi0AFAAG&#10;AAgAAAAhAHjtKkpwAwAACQcAAA4AAAAAAAAAAAAAAAAALgIAAGRycy9lMm9Eb2MueG1sUEsBAi0A&#10;FAAGAAgAAAAhADTXcXjfAAAACgEAAA8AAAAAAAAAAAAAAAAAygUAAGRycy9kb3ducmV2LnhtbFBL&#10;BQYAAAAABAAEAPMAAADWBgAAAAA=&#10;" fillcolor="white [3201]" strokecolor="#5b9bd5 [3204]" strokeweight=".5pt">
                <v:textbox>
                  <w:txbxContent>
                    <w:p w14:paraId="3820D5FA" w14:textId="6A461D14" w:rsidR="00D763D0" w:rsidRDefault="008F0696" w:rsidP="008F0696">
                      <w:pPr>
                        <w:keepNext/>
                        <w:jc w:val="center"/>
                      </w:pPr>
                      <w:r w:rsidRPr="008F0696">
                        <w:rPr>
                          <w:i/>
                        </w:rPr>
                        <w:t xml:space="preserve">At Eastern Montana Industries, group home manager Steve </w:t>
                      </w:r>
                      <w:proofErr w:type="spellStart"/>
                      <w:r w:rsidRPr="008F0696">
                        <w:rPr>
                          <w:i/>
                        </w:rPr>
                        <w:t>Amick</w:t>
                      </w:r>
                      <w:proofErr w:type="spellEnd"/>
                      <w:r w:rsidRPr="008F0696">
                        <w:rPr>
                          <w:i/>
                        </w:rPr>
                        <w:t xml:space="preserve"> used the MENU-AIDDs program to improve dietary offerings, but he did not stop there. He increased resident involvement in the menu planning by researching traditional native vegetables with several American Indian residents. They put several varieties of squash on the menu and learned new recipes together. This is a culturally competent increase in vegetable consumption—a winning solution.</w:t>
                      </w:r>
                      <w:r w:rsidR="00D763D0" w:rsidRPr="00D763D0">
                        <w:rPr>
                          <w:noProof/>
                        </w:rPr>
                        <w:drawing>
                          <wp:inline distT="0" distB="0" distL="0" distR="0" wp14:anchorId="31381A09" wp14:editId="0A8135AD">
                            <wp:extent cx="1930400" cy="1447800"/>
                            <wp:effectExtent l="0" t="0" r="0" b="0"/>
                            <wp:docPr id="2" name="Picture 2" descr="Young man in grocery store holding groc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34401" cy="1450800"/>
                                    </a:xfrm>
                                    <a:prstGeom prst="rect">
                                      <a:avLst/>
                                    </a:prstGeom>
                                    <a:noFill/>
                                    <a:ln>
                                      <a:noFill/>
                                    </a:ln>
                                  </pic:spPr>
                                </pic:pic>
                              </a:graphicData>
                            </a:graphic>
                          </wp:inline>
                        </w:drawing>
                      </w:r>
                    </w:p>
                    <w:p w14:paraId="362E452D" w14:textId="0703CECA" w:rsidR="007A62EB" w:rsidRPr="007A62EB" w:rsidRDefault="007A62EB" w:rsidP="00F94C1B"/>
                  </w:txbxContent>
                </v:textbox>
                <w10:wrap type="square"/>
              </v:shape>
            </w:pict>
          </mc:Fallback>
        </mc:AlternateContent>
      </w:r>
      <w:r w:rsidR="008F0696" w:rsidRPr="008F0696">
        <w:t xml:space="preserve"> </w:t>
      </w:r>
      <w:r w:rsidR="008F0696" w:rsidRPr="008F0696">
        <w:rPr>
          <w:noProof/>
          <w:color w:val="000000" w:themeColor="text1"/>
        </w:rPr>
        <w:t xml:space="preserve">Adults with intellectual or developmental disabilities </w:t>
      </w:r>
      <w:r w:rsidR="00D95FA4">
        <w:rPr>
          <w:noProof/>
          <w:color w:val="000000" w:themeColor="text1"/>
        </w:rPr>
        <w:t xml:space="preserve">(I/DD) </w:t>
      </w:r>
      <w:r w:rsidR="008F0696" w:rsidRPr="008F0696">
        <w:rPr>
          <w:noProof/>
          <w:color w:val="000000" w:themeColor="text1"/>
        </w:rPr>
        <w:t>are at increased risk for nutrition related</w:t>
      </w:r>
      <w:r w:rsidR="00FF566B">
        <w:rPr>
          <w:noProof/>
          <w:color w:val="000000" w:themeColor="text1"/>
        </w:rPr>
        <w:t xml:space="preserve"> chronic diseases and</w:t>
      </w:r>
      <w:r w:rsidR="008F0696" w:rsidRPr="008F0696">
        <w:rPr>
          <w:noProof/>
          <w:color w:val="000000" w:themeColor="text1"/>
        </w:rPr>
        <w:t xml:space="preserve"> secondary conditions such as overweight, obesity, diabetes, cardiovascular disease, gastrointestinal dysfunction and nutritional deficiencies.</w:t>
      </w:r>
      <w:r w:rsidR="00BF2E5B">
        <w:rPr>
          <w:noProof/>
          <w:color w:val="000000" w:themeColor="text1"/>
        </w:rPr>
        <w:t xml:space="preserve"> Staffing issues and planning for multiple individual cultural and special dietary needs </w:t>
      </w:r>
      <w:r w:rsidR="0097591B">
        <w:rPr>
          <w:noProof/>
          <w:color w:val="000000" w:themeColor="text1"/>
        </w:rPr>
        <w:t>present challenges to maintaining</w:t>
      </w:r>
      <w:r w:rsidR="00BF2E5B">
        <w:rPr>
          <w:noProof/>
          <w:color w:val="000000" w:themeColor="text1"/>
        </w:rPr>
        <w:t xml:space="preserve"> food system</w:t>
      </w:r>
      <w:r w:rsidR="00FF566B">
        <w:rPr>
          <w:noProof/>
          <w:color w:val="000000" w:themeColor="text1"/>
        </w:rPr>
        <w:t>s</w:t>
      </w:r>
      <w:r w:rsidR="00BF2E5B">
        <w:rPr>
          <w:noProof/>
          <w:color w:val="000000" w:themeColor="text1"/>
        </w:rPr>
        <w:t xml:space="preserve"> within</w:t>
      </w:r>
      <w:r w:rsidR="008F0696" w:rsidRPr="008F0696">
        <w:rPr>
          <w:noProof/>
          <w:color w:val="000000" w:themeColor="text1"/>
        </w:rPr>
        <w:t xml:space="preserve"> to this population’s living situations</w:t>
      </w:r>
      <w:r w:rsidR="00FF566B">
        <w:rPr>
          <w:noProof/>
          <w:color w:val="000000" w:themeColor="text1"/>
        </w:rPr>
        <w:t xml:space="preserve"> that align</w:t>
      </w:r>
      <w:r w:rsidR="0097591B">
        <w:rPr>
          <w:noProof/>
          <w:color w:val="000000" w:themeColor="text1"/>
        </w:rPr>
        <w:t xml:space="preserve"> with the American Dietary Guidelines.</w:t>
      </w:r>
      <w:r w:rsidR="008F0696" w:rsidRPr="008F0696">
        <w:rPr>
          <w:noProof/>
          <w:color w:val="000000" w:themeColor="text1"/>
        </w:rPr>
        <w:t xml:space="preserve"> </w:t>
      </w:r>
    </w:p>
    <w:p w14:paraId="7EFD8ED9" w14:textId="77777777" w:rsidR="001B0A17" w:rsidRPr="00B325B1" w:rsidRDefault="001B0A17" w:rsidP="000920B2">
      <w:pPr>
        <w:pStyle w:val="Heading3"/>
        <w:rPr>
          <w:b w:val="0"/>
        </w:rPr>
      </w:pPr>
      <w:r w:rsidRPr="00B325B1">
        <w:t>Program Overview</w:t>
      </w:r>
      <w:r w:rsidRPr="00B325B1">
        <w:tab/>
      </w:r>
    </w:p>
    <w:p w14:paraId="598B4FC4" w14:textId="7FF096DE" w:rsidR="008F0696" w:rsidRPr="0097591B" w:rsidRDefault="008F0696" w:rsidP="008F0696">
      <w:pPr>
        <w:rPr>
          <w:noProof/>
          <w:color w:val="000000" w:themeColor="text1"/>
        </w:rPr>
      </w:pPr>
      <w:r w:rsidRPr="008F0696">
        <w:rPr>
          <w:noProof/>
          <w:color w:val="000000" w:themeColor="text1"/>
        </w:rPr>
        <w:t>MENU-AIDDs was developed using community-base</w:t>
      </w:r>
      <w:bookmarkStart w:id="0" w:name="_GoBack"/>
      <w:bookmarkEnd w:id="0"/>
      <w:r w:rsidRPr="008F0696">
        <w:rPr>
          <w:noProof/>
          <w:color w:val="000000" w:themeColor="text1"/>
        </w:rPr>
        <w:t>d participatory research methods to ensure its acceptability and usability by group homes and individuals with disabilities.</w:t>
      </w:r>
      <w:r w:rsidR="0097591B">
        <w:rPr>
          <w:noProof/>
          <w:color w:val="000000" w:themeColor="text1"/>
        </w:rPr>
        <w:t xml:space="preserve"> </w:t>
      </w:r>
      <w:r w:rsidRPr="008F0696">
        <w:rPr>
          <w:noProof/>
          <w:color w:val="000000" w:themeColor="text1"/>
        </w:rPr>
        <w:t>The program uses an ecological approach to health promotion, which means that it takes into consideration the many influences on nutritional choices and behavior.</w:t>
      </w:r>
      <w:r w:rsidR="0097591B">
        <w:rPr>
          <w:noProof/>
          <w:color w:val="000000" w:themeColor="text1"/>
        </w:rPr>
        <w:t xml:space="preserve"> </w:t>
      </w:r>
      <w:r w:rsidRPr="008F0696">
        <w:rPr>
          <w:noProof/>
          <w:color w:val="000000" w:themeColor="text1"/>
        </w:rPr>
        <w:t>MENU-AIDDs’ dietary recommendations follow the Dietary Guidelines for Americans and the MyPlate food guidance system. It is not a therapeutic diet and does not need a doctor’s order to implement.</w:t>
      </w:r>
      <w:r w:rsidR="0097591B">
        <w:rPr>
          <w:noProof/>
          <w:color w:val="000000" w:themeColor="text1"/>
        </w:rPr>
        <w:t xml:space="preserve"> </w:t>
      </w:r>
      <w:r w:rsidRPr="008F0696">
        <w:rPr>
          <w:noProof/>
          <w:color w:val="000000" w:themeColor="text1"/>
        </w:rPr>
        <w:t xml:space="preserve">MENU-AIDDs has been evaluated in an 8- and 16-week pilot trial and a 6-month public health dissemination (effectiveness trial) in Montana. </w:t>
      </w:r>
    </w:p>
    <w:p w14:paraId="16EF269F" w14:textId="77777777" w:rsidR="001B0A17" w:rsidRPr="00B325B1" w:rsidRDefault="001B0A17" w:rsidP="006B7CB4">
      <w:pPr>
        <w:pStyle w:val="Heading3"/>
        <w:spacing w:before="200"/>
        <w:rPr>
          <w:b w:val="0"/>
        </w:rPr>
      </w:pPr>
      <w:r w:rsidRPr="00B325B1">
        <w:t>Making a Difference</w:t>
      </w:r>
    </w:p>
    <w:p w14:paraId="0D28823C" w14:textId="77777777" w:rsidR="00FF566B" w:rsidRDefault="008F0696" w:rsidP="008F0696">
      <w:pPr>
        <w:spacing w:after="0"/>
        <w:rPr>
          <w:rFonts w:ascii="Calibri" w:eastAsia="Calibri" w:hAnsi="Calibri" w:cs="Times New Roman"/>
          <w:spacing w:val="-1"/>
        </w:rPr>
      </w:pPr>
      <w:r w:rsidRPr="008F0696">
        <w:rPr>
          <w:rFonts w:ascii="Calibri" w:eastAsia="Calibri" w:hAnsi="Calibri" w:cs="Times New Roman"/>
          <w:spacing w:val="-1"/>
        </w:rPr>
        <w:t>To date, more than 160 community-based group homes for adults with IDD in Montana, New York, North Carolina, and Oregon have been trained to implement MENU-AIDDs. Training evaluations indicate that 99% of managers trained agreed that they were well prepared and confident to implement the program; 96% agreed the day of training was worth their time and effort, and 96% agreed that they were prepared to teach the concepts and procedures to their staff.</w:t>
      </w:r>
      <w:r w:rsidR="005C695E">
        <w:rPr>
          <w:rFonts w:ascii="Calibri" w:eastAsia="Calibri" w:hAnsi="Calibri" w:cs="Times New Roman"/>
          <w:spacing w:val="-1"/>
        </w:rPr>
        <w:t xml:space="preserve"> </w:t>
      </w:r>
    </w:p>
    <w:p w14:paraId="5C40B169" w14:textId="6618EB32" w:rsidR="00D763D0" w:rsidRPr="008F0696" w:rsidRDefault="008F0696" w:rsidP="00FF566B">
      <w:pPr>
        <w:spacing w:before="60" w:after="0"/>
        <w:rPr>
          <w:rFonts w:ascii="Calibri" w:eastAsia="Calibri" w:hAnsi="Calibri" w:cs="Times New Roman"/>
          <w:spacing w:val="-1"/>
        </w:rPr>
      </w:pPr>
      <w:r w:rsidRPr="008F0696">
        <w:rPr>
          <w:rFonts w:ascii="Calibri" w:eastAsia="Calibri" w:hAnsi="Calibri" w:cs="Times New Roman"/>
          <w:spacing w:val="-1"/>
        </w:rPr>
        <w:t>Because managers, staff, and residents now make the weekly home menus, the food systems have become more responsive to cultural food habits and resident preferences, grocery store sales and seasonal foods, residents’ special dietary needs, and their staff capacity.</w:t>
      </w:r>
      <w:r>
        <w:rPr>
          <w:rFonts w:ascii="Calibri" w:eastAsia="Calibri" w:hAnsi="Calibri" w:cs="Times New Roman"/>
          <w:spacing w:val="-1"/>
        </w:rPr>
        <w:t xml:space="preserve"> </w:t>
      </w:r>
      <w:r w:rsidRPr="008F0696">
        <w:rPr>
          <w:rFonts w:ascii="Calibri" w:eastAsia="Calibri" w:hAnsi="Calibri" w:cs="Times New Roman"/>
          <w:spacing w:val="-1"/>
        </w:rPr>
        <w:t>Significant improvements were found in homes that used MENU-AIDDs:</w:t>
      </w:r>
      <w:r w:rsidR="005C695E">
        <w:rPr>
          <w:rFonts w:ascii="Calibri" w:eastAsia="Calibri" w:hAnsi="Calibri" w:cs="Times New Roman"/>
          <w:spacing w:val="-1"/>
        </w:rPr>
        <w:t xml:space="preserve"> </w:t>
      </w:r>
      <w:r w:rsidRPr="008F0696">
        <w:rPr>
          <w:rFonts w:ascii="Calibri" w:eastAsia="Calibri" w:hAnsi="Calibri" w:cs="Times New Roman"/>
          <w:spacing w:val="-1"/>
        </w:rPr>
        <w:t>healthfulness of planned menus dietary intake of individuals who lived there body weight of people who were overweight or obese and</w:t>
      </w:r>
      <w:r>
        <w:rPr>
          <w:rFonts w:ascii="Calibri" w:eastAsia="Calibri" w:hAnsi="Calibri" w:cs="Times New Roman"/>
          <w:spacing w:val="-1"/>
        </w:rPr>
        <w:t xml:space="preserve"> of people who were underweight </w:t>
      </w:r>
      <w:r w:rsidRPr="008F0696">
        <w:rPr>
          <w:rFonts w:ascii="Calibri" w:eastAsia="Calibri" w:hAnsi="Calibri" w:cs="Times New Roman"/>
          <w:spacing w:val="-1"/>
        </w:rPr>
        <w:t>gastrointestinal function</w:t>
      </w:r>
    </w:p>
    <w:p w14:paraId="1CB8BBD7" w14:textId="77777777" w:rsidR="000A5925" w:rsidRPr="000A5925" w:rsidRDefault="000A5925" w:rsidP="007768F5">
      <w:pPr>
        <w:spacing w:after="0"/>
        <w:rPr>
          <w:sz w:val="12"/>
          <w:szCs w:val="12"/>
        </w:rPr>
      </w:pPr>
    </w:p>
    <w:p w14:paraId="76046877" w14:textId="77777777" w:rsidR="00D763D0" w:rsidRPr="00D763D0" w:rsidRDefault="00D763D0" w:rsidP="00D763D0">
      <w:pPr>
        <w:keepNext/>
        <w:keepLines/>
        <w:spacing w:after="0"/>
        <w:outlineLvl w:val="1"/>
        <w:rPr>
          <w:rFonts w:ascii="Calibri" w:eastAsia="Calibri" w:hAnsi="Calibri" w:cs="Calibri"/>
          <w:b/>
          <w:bCs/>
          <w:color w:val="000000"/>
          <w:szCs w:val="24"/>
        </w:rPr>
      </w:pPr>
      <w:r w:rsidRPr="00D763D0">
        <w:rPr>
          <w:rFonts w:ascii="Calibri" w:eastAsia="Times New Roman" w:hAnsi="Calibri" w:cs="Times New Roman"/>
          <w:b/>
          <w:bCs/>
          <w:color w:val="000000"/>
          <w:szCs w:val="26"/>
        </w:rPr>
        <w:t>Shaping</w:t>
      </w:r>
      <w:r w:rsidRPr="00D763D0">
        <w:rPr>
          <w:rFonts w:ascii="Calibri" w:eastAsia="Times New Roman" w:hAnsi="Calibri" w:cs="Times New Roman"/>
          <w:b/>
          <w:bCs/>
          <w:color w:val="000000"/>
          <w:spacing w:val="-13"/>
          <w:szCs w:val="26"/>
        </w:rPr>
        <w:t xml:space="preserve"> </w:t>
      </w:r>
      <w:r w:rsidRPr="00D763D0">
        <w:rPr>
          <w:rFonts w:ascii="Calibri" w:eastAsia="Times New Roman" w:hAnsi="Calibri" w:cs="Times New Roman"/>
          <w:b/>
          <w:bCs/>
          <w:color w:val="000000"/>
          <w:szCs w:val="26"/>
        </w:rPr>
        <w:t>Tomorrow</w:t>
      </w:r>
    </w:p>
    <w:p w14:paraId="10F3FE03" w14:textId="3F49A584" w:rsidR="008F0696" w:rsidRDefault="008F0696" w:rsidP="008F0696">
      <w:pPr>
        <w:pStyle w:val="EndnoteText"/>
        <w:rPr>
          <w:rFonts w:ascii="Calibri" w:eastAsia="Calibri" w:hAnsi="Calibri" w:cs="Times New Roman"/>
          <w:spacing w:val="-1"/>
          <w:sz w:val="22"/>
          <w:szCs w:val="22"/>
        </w:rPr>
      </w:pPr>
      <w:r w:rsidRPr="008F0696">
        <w:rPr>
          <w:rFonts w:ascii="Calibri" w:eastAsia="Calibri" w:hAnsi="Calibri" w:cs="Times New Roman"/>
          <w:spacing w:val="-1"/>
          <w:sz w:val="22"/>
          <w:szCs w:val="22"/>
        </w:rPr>
        <w:t xml:space="preserve">MTDH plans to partner with </w:t>
      </w:r>
      <w:r w:rsidR="00D95FA4">
        <w:rPr>
          <w:rFonts w:ascii="Calibri" w:eastAsia="Calibri" w:hAnsi="Calibri" w:cs="Times New Roman"/>
          <w:spacing w:val="-1"/>
          <w:sz w:val="22"/>
          <w:szCs w:val="22"/>
        </w:rPr>
        <w:t>I/DD</w:t>
      </w:r>
      <w:r w:rsidRPr="008F0696">
        <w:rPr>
          <w:rFonts w:ascii="Calibri" w:eastAsia="Calibri" w:hAnsi="Calibri" w:cs="Times New Roman"/>
          <w:spacing w:val="-1"/>
          <w:sz w:val="22"/>
          <w:szCs w:val="22"/>
        </w:rPr>
        <w:t xml:space="preserve"> services providers, who are already using MENU-AIDDs successfully, to use the program as a base for introducing the Diabetes Prevention Program to adults with IDD. Such a linkage would likely allow evidence-based diabetes prevention programming to this population who are at increased risk for th</w:t>
      </w:r>
      <w:r>
        <w:rPr>
          <w:rFonts w:ascii="Calibri" w:eastAsia="Calibri" w:hAnsi="Calibri" w:cs="Times New Roman"/>
          <w:spacing w:val="-1"/>
          <w:sz w:val="22"/>
          <w:szCs w:val="22"/>
        </w:rPr>
        <w:t>e chronic, expensive condition.</w:t>
      </w:r>
    </w:p>
    <w:p w14:paraId="2EAF0B23" w14:textId="3740D42E" w:rsidR="005C695E" w:rsidRDefault="008F0696" w:rsidP="005C695E">
      <w:pPr>
        <w:pStyle w:val="EndnoteText"/>
        <w:spacing w:before="60"/>
        <w:rPr>
          <w:rFonts w:ascii="Calibri" w:eastAsia="Calibri" w:hAnsi="Calibri" w:cs="Times New Roman"/>
          <w:b/>
          <w:spacing w:val="-3"/>
        </w:rPr>
      </w:pPr>
      <w:r w:rsidRPr="008F0696">
        <w:rPr>
          <w:rFonts w:ascii="Calibri" w:eastAsia="Calibri" w:hAnsi="Calibri" w:cs="Times New Roman"/>
          <w:spacing w:val="-1"/>
          <w:sz w:val="22"/>
          <w:szCs w:val="22"/>
        </w:rPr>
        <w:t xml:space="preserve">For more nutrition materials and information, visit the MTDH website at </w:t>
      </w:r>
      <w:hyperlink r:id="rId8" w:anchor="Contact" w:history="1">
        <w:r w:rsidR="005C695E" w:rsidRPr="00C74E34">
          <w:rPr>
            <w:rStyle w:val="Hyperlink"/>
            <w:rFonts w:ascii="Calibri" w:eastAsia="Calibri" w:hAnsi="Calibri" w:cs="Times New Roman"/>
            <w:spacing w:val="-1"/>
            <w:sz w:val="22"/>
            <w:szCs w:val="22"/>
          </w:rPr>
          <w:t>http://mtdh.ruralinstitute.umt.edu/</w:t>
        </w:r>
        <w:r w:rsidR="005C695E" w:rsidRPr="00C74E34">
          <w:rPr>
            <w:rStyle w:val="Hyperlink"/>
            <w:rFonts w:ascii="Calibri" w:eastAsia="Calibri" w:hAnsi="Calibri" w:cs="Times New Roman"/>
            <w:b/>
            <w:spacing w:val="-1"/>
          </w:rPr>
          <w:t>Contact</w:t>
        </w:r>
      </w:hyperlink>
    </w:p>
    <w:p w14:paraId="14E64090" w14:textId="0C4B001B" w:rsidR="00D763D0" w:rsidRPr="005C695E" w:rsidRDefault="00D763D0" w:rsidP="005C695E">
      <w:pPr>
        <w:pStyle w:val="EndnoteText"/>
        <w:spacing w:before="60"/>
        <w:rPr>
          <w:rFonts w:ascii="Calibri" w:eastAsia="Calibri" w:hAnsi="Calibri" w:cs="Times New Roman"/>
          <w:spacing w:val="-1"/>
          <w:sz w:val="22"/>
          <w:szCs w:val="22"/>
        </w:rPr>
      </w:pPr>
      <w:r w:rsidRPr="00D763D0">
        <w:rPr>
          <w:rFonts w:ascii="Calibri" w:eastAsia="Calibri" w:hAnsi="Calibri" w:cs="Times New Roman"/>
          <w:b/>
          <w:spacing w:val="-1"/>
        </w:rPr>
        <w:t>Information:</w:t>
      </w:r>
      <w:r w:rsidRPr="00D763D0">
        <w:rPr>
          <w:rFonts w:ascii="Calibri" w:eastAsia="Calibri" w:hAnsi="Calibri" w:cs="Times New Roman"/>
          <w:b/>
          <w:spacing w:val="-2"/>
        </w:rPr>
        <w:t xml:space="preserve"> </w:t>
      </w:r>
      <w:r w:rsidRPr="00D763D0">
        <w:rPr>
          <w:rFonts w:ascii="Calibri" w:eastAsia="Calibri" w:hAnsi="Calibri" w:cs="Times New Roman"/>
          <w:spacing w:val="-2"/>
        </w:rPr>
        <w:t>Montana</w:t>
      </w:r>
      <w:r w:rsidRPr="00D763D0">
        <w:rPr>
          <w:rFonts w:ascii="Calibri" w:eastAsia="Calibri" w:hAnsi="Calibri" w:cs="Times New Roman"/>
          <w:spacing w:val="-1"/>
        </w:rPr>
        <w:t xml:space="preserve"> Disability</w:t>
      </w:r>
      <w:r w:rsidRPr="00D763D0">
        <w:rPr>
          <w:rFonts w:ascii="Calibri" w:eastAsia="Calibri" w:hAnsi="Calibri" w:cs="Times New Roman"/>
        </w:rPr>
        <w:t xml:space="preserve"> </w:t>
      </w:r>
      <w:r w:rsidRPr="00D763D0">
        <w:rPr>
          <w:rFonts w:ascii="Calibri" w:eastAsia="Calibri" w:hAnsi="Calibri" w:cs="Times New Roman"/>
          <w:spacing w:val="-1"/>
        </w:rPr>
        <w:t>and</w:t>
      </w:r>
      <w:r w:rsidRPr="00D763D0">
        <w:rPr>
          <w:rFonts w:ascii="Calibri" w:eastAsia="Calibri" w:hAnsi="Calibri" w:cs="Times New Roman"/>
          <w:spacing w:val="-2"/>
        </w:rPr>
        <w:t xml:space="preserve"> </w:t>
      </w:r>
      <w:r w:rsidRPr="00D763D0">
        <w:rPr>
          <w:rFonts w:ascii="Calibri" w:eastAsia="Calibri" w:hAnsi="Calibri" w:cs="Times New Roman"/>
          <w:spacing w:val="-1"/>
        </w:rPr>
        <w:t>Health</w:t>
      </w:r>
      <w:r w:rsidRPr="00D763D0">
        <w:rPr>
          <w:rFonts w:ascii="Calibri" w:eastAsia="Calibri" w:hAnsi="Calibri" w:cs="Times New Roman"/>
          <w:spacing w:val="-2"/>
        </w:rPr>
        <w:t xml:space="preserve"> </w:t>
      </w:r>
      <w:r w:rsidRPr="00D763D0">
        <w:rPr>
          <w:rFonts w:ascii="Calibri" w:eastAsia="Calibri" w:hAnsi="Calibri" w:cs="Times New Roman"/>
          <w:spacing w:val="-1"/>
        </w:rPr>
        <w:t>Program;</w:t>
      </w:r>
      <w:r w:rsidRPr="00D763D0">
        <w:rPr>
          <w:rFonts w:ascii="Calibri" w:eastAsia="Calibri" w:hAnsi="Calibri" w:cs="Times New Roman"/>
        </w:rPr>
        <w:t xml:space="preserve"> </w:t>
      </w:r>
      <w:r w:rsidR="00EC1147">
        <w:rPr>
          <w:rFonts w:ascii="Calibri" w:eastAsia="Calibri" w:hAnsi="Calibri" w:cs="Times New Roman"/>
          <w:spacing w:val="-1"/>
        </w:rPr>
        <w:t>Meg Traci</w:t>
      </w:r>
      <w:r w:rsidRPr="00D763D0">
        <w:rPr>
          <w:rFonts w:ascii="Calibri" w:eastAsia="Calibri" w:hAnsi="Calibri" w:cs="Times New Roman"/>
          <w:spacing w:val="-1"/>
        </w:rPr>
        <w:t>,</w:t>
      </w:r>
      <w:r w:rsidRPr="00D763D0">
        <w:rPr>
          <w:rFonts w:ascii="Calibri" w:eastAsia="Calibri" w:hAnsi="Calibri" w:cs="Times New Roman"/>
          <w:spacing w:val="-3"/>
        </w:rPr>
        <w:t xml:space="preserve"> </w:t>
      </w:r>
      <w:r w:rsidR="00EC1147">
        <w:rPr>
          <w:rFonts w:ascii="Calibri" w:eastAsia="Calibri" w:hAnsi="Calibri" w:cs="Times New Roman"/>
          <w:spacing w:val="-3"/>
        </w:rPr>
        <w:t>PhD</w:t>
      </w:r>
      <w:r w:rsidRPr="00D763D0">
        <w:rPr>
          <w:rFonts w:ascii="Calibri" w:eastAsia="Calibri" w:hAnsi="Calibri" w:cs="Times New Roman"/>
          <w:spacing w:val="-1"/>
        </w:rPr>
        <w:t>;</w:t>
      </w:r>
      <w:r w:rsidRPr="00D763D0">
        <w:rPr>
          <w:rFonts w:ascii="Calibri" w:eastAsia="Calibri" w:hAnsi="Calibri" w:cs="Times New Roman"/>
          <w:spacing w:val="-2"/>
        </w:rPr>
        <w:t xml:space="preserve"> </w:t>
      </w:r>
      <w:r w:rsidRPr="00D763D0">
        <w:rPr>
          <w:rFonts w:ascii="Calibri" w:eastAsia="Calibri" w:hAnsi="Calibri" w:cs="Times New Roman"/>
        </w:rPr>
        <w:t>52</w:t>
      </w:r>
      <w:r w:rsidRPr="00D763D0">
        <w:rPr>
          <w:rFonts w:ascii="Calibri" w:eastAsia="Calibri" w:hAnsi="Calibri" w:cs="Times New Roman"/>
          <w:spacing w:val="-3"/>
        </w:rPr>
        <w:t xml:space="preserve"> </w:t>
      </w:r>
      <w:r w:rsidRPr="00D763D0">
        <w:rPr>
          <w:rFonts w:ascii="Calibri" w:eastAsia="Calibri" w:hAnsi="Calibri" w:cs="Times New Roman"/>
          <w:spacing w:val="-1"/>
        </w:rPr>
        <w:t>Corbin</w:t>
      </w:r>
      <w:r w:rsidRPr="00D763D0">
        <w:rPr>
          <w:rFonts w:ascii="Calibri" w:eastAsia="Calibri" w:hAnsi="Calibri" w:cs="Times New Roman"/>
          <w:spacing w:val="-2"/>
        </w:rPr>
        <w:t xml:space="preserve"> </w:t>
      </w:r>
      <w:r w:rsidRPr="00D763D0">
        <w:rPr>
          <w:rFonts w:ascii="Calibri" w:eastAsia="Calibri" w:hAnsi="Calibri" w:cs="Times New Roman"/>
          <w:spacing w:val="-1"/>
        </w:rPr>
        <w:t>Hall,</w:t>
      </w:r>
      <w:r w:rsidRPr="00D763D0">
        <w:rPr>
          <w:rFonts w:ascii="Calibri" w:eastAsia="Calibri" w:hAnsi="Calibri" w:cs="Times New Roman"/>
          <w:spacing w:val="-3"/>
        </w:rPr>
        <w:t xml:space="preserve"> </w:t>
      </w:r>
      <w:r w:rsidRPr="00D763D0">
        <w:rPr>
          <w:rFonts w:ascii="Calibri" w:eastAsia="Calibri" w:hAnsi="Calibri" w:cs="Times New Roman"/>
          <w:spacing w:val="-1"/>
        </w:rPr>
        <w:t xml:space="preserve">Missoula, </w:t>
      </w:r>
      <w:r w:rsidRPr="00D763D0">
        <w:rPr>
          <w:rFonts w:ascii="Calibri" w:eastAsia="Calibri" w:hAnsi="Calibri" w:cs="Times New Roman"/>
        </w:rPr>
        <w:t>MT</w:t>
      </w:r>
      <w:r w:rsidRPr="00D763D0">
        <w:rPr>
          <w:rFonts w:ascii="Calibri" w:eastAsia="Calibri" w:hAnsi="Calibri" w:cs="Times New Roman"/>
          <w:spacing w:val="73"/>
        </w:rPr>
        <w:t xml:space="preserve"> </w:t>
      </w:r>
      <w:r w:rsidRPr="00D763D0">
        <w:rPr>
          <w:rFonts w:ascii="Calibri" w:eastAsia="Calibri" w:hAnsi="Calibri" w:cs="Times New Roman"/>
        </w:rPr>
        <w:t>59812;</w:t>
      </w:r>
      <w:r w:rsidRPr="00D763D0">
        <w:rPr>
          <w:rFonts w:ascii="Calibri" w:eastAsia="Calibri" w:hAnsi="Calibri" w:cs="Times New Roman"/>
          <w:spacing w:val="-2"/>
        </w:rPr>
        <w:t xml:space="preserve"> </w:t>
      </w:r>
      <w:r w:rsidRPr="00D763D0">
        <w:rPr>
          <w:rFonts w:ascii="Calibri" w:eastAsia="Calibri" w:hAnsi="Calibri" w:cs="Times New Roman"/>
        </w:rPr>
        <w:t>(406)</w:t>
      </w:r>
      <w:r w:rsidRPr="00D763D0">
        <w:rPr>
          <w:rFonts w:ascii="Calibri" w:eastAsia="Calibri" w:hAnsi="Calibri" w:cs="Times New Roman"/>
          <w:spacing w:val="-2"/>
        </w:rPr>
        <w:t xml:space="preserve"> </w:t>
      </w:r>
      <w:r w:rsidRPr="00D763D0">
        <w:rPr>
          <w:rFonts w:ascii="Calibri" w:eastAsia="Calibri" w:hAnsi="Calibri" w:cs="Times New Roman"/>
          <w:spacing w:val="-1"/>
        </w:rPr>
        <w:t>243-</w:t>
      </w:r>
      <w:r w:rsidR="00EC1147">
        <w:rPr>
          <w:rFonts w:ascii="Calibri" w:eastAsia="Calibri" w:hAnsi="Calibri" w:cs="Times New Roman"/>
          <w:spacing w:val="-1"/>
        </w:rPr>
        <w:t>4956; meg.traci@mso.umt.edu</w:t>
      </w:r>
    </w:p>
    <w:p w14:paraId="5A36442A" w14:textId="77777777" w:rsidR="005C695E" w:rsidRDefault="00DD76A5" w:rsidP="005C695E">
      <w:pPr>
        <w:spacing w:before="120" w:after="0"/>
      </w:pPr>
      <w:r w:rsidRPr="00DD76A5">
        <w:rPr>
          <w:rFonts w:ascii="Calibri" w:eastAsia="Calibri" w:hAnsi="Calibri" w:cs="Times New Roman"/>
          <w:b/>
          <w:i/>
          <w:color w:val="1F4E79" w:themeColor="accent1" w:themeShade="80"/>
        </w:rPr>
        <w:lastRenderedPageBreak/>
        <w:t xml:space="preserve">MTDH is a </w:t>
      </w:r>
      <w:r w:rsidR="00B841F1" w:rsidRPr="00023396">
        <w:rPr>
          <w:rFonts w:ascii="Calibri" w:eastAsia="Times New Roman" w:hAnsi="Calibri" w:cs="Times New Roman"/>
          <w:b/>
          <w:bCs/>
          <w:i/>
          <w:color w:val="1F4E79" w:themeColor="accent1" w:themeShade="80"/>
        </w:rPr>
        <w:t xml:space="preserve">State Disability </w:t>
      </w:r>
      <w:r w:rsidR="00023396" w:rsidRPr="00023396">
        <w:rPr>
          <w:rFonts w:ascii="Calibri" w:eastAsia="Times New Roman" w:hAnsi="Calibri" w:cs="Times New Roman"/>
          <w:b/>
          <w:bCs/>
          <w:i/>
          <w:color w:val="1F4E79" w:themeColor="accent1" w:themeShade="80"/>
        </w:rPr>
        <w:t xml:space="preserve">&amp; </w:t>
      </w:r>
      <w:r w:rsidR="00B841F1" w:rsidRPr="00023396">
        <w:rPr>
          <w:rFonts w:ascii="Calibri" w:eastAsia="Times New Roman" w:hAnsi="Calibri" w:cs="Times New Roman"/>
          <w:b/>
          <w:bCs/>
          <w:i/>
          <w:color w:val="1F4E79" w:themeColor="accent1" w:themeShade="80"/>
        </w:rPr>
        <w:t xml:space="preserve">Health Grantee </w:t>
      </w:r>
      <w:r w:rsidR="00023396" w:rsidRPr="00023396">
        <w:rPr>
          <w:rFonts w:ascii="Calibri" w:eastAsia="Times New Roman" w:hAnsi="Calibri" w:cs="Times New Roman"/>
          <w:b/>
          <w:bCs/>
          <w:i/>
          <w:color w:val="1F4E79" w:themeColor="accent1" w:themeShade="80"/>
        </w:rPr>
        <w:t>of</w:t>
      </w:r>
      <w:r w:rsidR="00B841F1" w:rsidRPr="00023396">
        <w:rPr>
          <w:rFonts w:ascii="Calibri" w:eastAsia="Times New Roman" w:hAnsi="Calibri" w:cs="Times New Roman"/>
          <w:b/>
          <w:bCs/>
          <w:i/>
          <w:color w:val="1F4E79" w:themeColor="accent1" w:themeShade="80"/>
        </w:rPr>
        <w:t xml:space="preserve"> the Disability </w:t>
      </w:r>
      <w:r w:rsidR="00023396" w:rsidRPr="00023396">
        <w:rPr>
          <w:rFonts w:ascii="Calibri" w:eastAsia="Times New Roman" w:hAnsi="Calibri" w:cs="Times New Roman"/>
          <w:b/>
          <w:bCs/>
          <w:i/>
          <w:color w:val="1F4E79" w:themeColor="accent1" w:themeShade="80"/>
        </w:rPr>
        <w:t>and</w:t>
      </w:r>
      <w:r w:rsidR="00B841F1" w:rsidRPr="00023396">
        <w:rPr>
          <w:rFonts w:ascii="Calibri" w:eastAsia="Times New Roman" w:hAnsi="Calibri" w:cs="Times New Roman"/>
          <w:b/>
          <w:bCs/>
          <w:i/>
          <w:color w:val="1F4E79" w:themeColor="accent1" w:themeShade="80"/>
        </w:rPr>
        <w:t xml:space="preserve"> Health Branch, Division of Human Development</w:t>
      </w:r>
      <w:r w:rsidR="00023396" w:rsidRPr="00023396">
        <w:rPr>
          <w:rFonts w:ascii="Calibri" w:eastAsia="Times New Roman" w:hAnsi="Calibri" w:cs="Times New Roman"/>
          <w:b/>
          <w:bCs/>
          <w:i/>
          <w:color w:val="1F4E79" w:themeColor="accent1" w:themeShade="80"/>
        </w:rPr>
        <w:t xml:space="preserve"> &amp;</w:t>
      </w:r>
      <w:r w:rsidR="00B841F1" w:rsidRPr="00023396">
        <w:rPr>
          <w:rFonts w:ascii="Calibri" w:eastAsia="Times New Roman" w:hAnsi="Calibri" w:cs="Times New Roman"/>
          <w:b/>
          <w:bCs/>
          <w:i/>
          <w:color w:val="1F4E79" w:themeColor="accent1" w:themeShade="80"/>
        </w:rPr>
        <w:t xml:space="preserve"> Disability, National Center on Birth Defects and Developmental Disabilities</w:t>
      </w:r>
      <w:r w:rsidR="00023396" w:rsidRPr="00023396">
        <w:rPr>
          <w:rFonts w:ascii="Calibri" w:eastAsia="Times New Roman" w:hAnsi="Calibri" w:cs="Times New Roman"/>
          <w:b/>
          <w:bCs/>
          <w:i/>
          <w:color w:val="1F4E79" w:themeColor="accent1" w:themeShade="80"/>
        </w:rPr>
        <w:t xml:space="preserve"> at the </w:t>
      </w:r>
      <w:r w:rsidR="00B841F1" w:rsidRPr="00023396">
        <w:rPr>
          <w:rFonts w:ascii="Calibri" w:eastAsia="Times New Roman" w:hAnsi="Calibri" w:cs="Times New Roman"/>
          <w:b/>
          <w:bCs/>
          <w:i/>
          <w:color w:val="1F4E79" w:themeColor="accent1" w:themeShade="80"/>
        </w:rPr>
        <w:t>Centers for Disease Control and Prevention. MTDH is a partnership of the Montana DPHHS and the University of Montana Rural Institute for Inclusive</w:t>
      </w:r>
      <w:r w:rsidR="00023396">
        <w:rPr>
          <w:rFonts w:ascii="Calibri" w:eastAsia="Times New Roman" w:hAnsi="Calibri" w:cs="Times New Roman"/>
          <w:b/>
          <w:bCs/>
          <w:i/>
          <w:color w:val="1F4E79" w:themeColor="accent1" w:themeShade="80"/>
        </w:rPr>
        <w:t xml:space="preserve"> c</w:t>
      </w:r>
      <w:r w:rsidR="00B841F1" w:rsidRPr="00023396">
        <w:rPr>
          <w:rFonts w:ascii="Calibri" w:eastAsia="Times New Roman" w:hAnsi="Calibri" w:cs="Times New Roman"/>
          <w:b/>
          <w:bCs/>
          <w:i/>
          <w:color w:val="1F4E79" w:themeColor="accent1" w:themeShade="80"/>
        </w:rPr>
        <w:t>ommunities.</w:t>
      </w:r>
      <w:r w:rsidR="00B841F1" w:rsidRPr="00023396">
        <w:rPr>
          <w:rFonts w:ascii="Calibri" w:eastAsia="Times New Roman" w:hAnsi="Calibri" w:cs="Times New Roman"/>
          <w:i/>
          <w:color w:val="1F4E79" w:themeColor="accent1" w:themeShade="80"/>
        </w:rPr>
        <w:t xml:space="preserve"> </w:t>
      </w:r>
      <w:r w:rsidR="00023396" w:rsidRPr="00023396">
        <w:rPr>
          <w:rFonts w:ascii="Calibri" w:eastAsia="Times New Roman" w:hAnsi="Calibri" w:cs="Times New Roman"/>
          <w:i/>
          <w:color w:val="1F4E79" w:themeColor="accent1" w:themeShade="80"/>
        </w:rPr>
        <w:t xml:space="preserve">More information is available at: </w:t>
      </w:r>
      <w:hyperlink r:id="rId9" w:history="1">
        <w:r w:rsidR="00B841F1" w:rsidRPr="00DD76A5">
          <w:rPr>
            <w:rFonts w:ascii="Calibri" w:eastAsia="Times New Roman" w:hAnsi="Calibri" w:cs="Times New Roman"/>
            <w:i/>
            <w:color w:val="0563C1"/>
            <w:u w:val="single"/>
          </w:rPr>
          <w:t>http://mtdh.ruralinstitute.umt.edu</w:t>
        </w:r>
      </w:hyperlink>
      <w:r w:rsidR="00023396">
        <w:t xml:space="preserve"> </w:t>
      </w:r>
    </w:p>
    <w:p w14:paraId="1BB77A29" w14:textId="4733A95C" w:rsidR="007A62EB" w:rsidRDefault="00D763D0" w:rsidP="005C695E">
      <w:pPr>
        <w:spacing w:before="120"/>
        <w:rPr>
          <w:rStyle w:val="CommentSubjectChar"/>
          <w:b w:val="0"/>
          <w:bCs w:val="0"/>
          <w:sz w:val="22"/>
          <w:szCs w:val="22"/>
        </w:rPr>
      </w:pPr>
      <w:r w:rsidRPr="00D763D0">
        <w:rPr>
          <w:rFonts w:ascii="Calibri" w:eastAsia="Calibri" w:hAnsi="Calibri" w:cs="Times New Roman"/>
          <w:noProof/>
          <w:position w:val="-3"/>
          <w:sz w:val="20"/>
        </w:rPr>
        <w:drawing>
          <wp:anchor distT="0" distB="0" distL="114300" distR="114300" simplePos="0" relativeHeight="251666432" behindDoc="0" locked="0" layoutInCell="1" allowOverlap="1" wp14:anchorId="5944A781" wp14:editId="0AC09EB7">
            <wp:simplePos x="0" y="0"/>
            <wp:positionH relativeFrom="margin">
              <wp:posOffset>2171700</wp:posOffset>
            </wp:positionH>
            <wp:positionV relativeFrom="paragraph">
              <wp:posOffset>327025</wp:posOffset>
            </wp:positionV>
            <wp:extent cx="2692400" cy="266700"/>
            <wp:effectExtent l="0" t="0" r="0" b="0"/>
            <wp:wrapThrough wrapText="bothSides">
              <wp:wrapPolygon edited="0">
                <wp:start x="0" y="0"/>
                <wp:lineTo x="0" y="20057"/>
                <wp:lineTo x="21396" y="20057"/>
                <wp:lineTo x="21396" y="0"/>
                <wp:lineTo x="0" y="0"/>
              </wp:wrapPolygon>
            </wp:wrapThrough>
            <wp:docPr id="14" name="Picture 14" descr="University of Mo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M-Pulse Logo-jpg.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2400" cy="266700"/>
                    </a:xfrm>
                    <a:prstGeom prst="rect">
                      <a:avLst/>
                    </a:prstGeom>
                  </pic:spPr>
                </pic:pic>
              </a:graphicData>
            </a:graphic>
            <wp14:sizeRelH relativeFrom="page">
              <wp14:pctWidth>0</wp14:pctWidth>
            </wp14:sizeRelH>
            <wp14:sizeRelV relativeFrom="page">
              <wp14:pctHeight>0</wp14:pctHeight>
            </wp14:sizeRelV>
          </wp:anchor>
        </w:drawing>
      </w:r>
      <w:r w:rsidR="007768F5">
        <w:t>© 201</w:t>
      </w:r>
      <w:r w:rsidR="002D5019">
        <w:t>6</w:t>
      </w:r>
      <w:r w:rsidR="007768F5">
        <w:t xml:space="preserve"> RTC:</w:t>
      </w:r>
      <w:r w:rsidR="003C3ED3">
        <w:t xml:space="preserve"> </w:t>
      </w:r>
      <w:r w:rsidR="007768F5">
        <w:t>Rural. Opinions expressed are the author’s and do not necessarily reflect those of the funding agency.</w:t>
      </w:r>
      <w:r w:rsidR="000B283D" w:rsidRPr="000B283D">
        <w:rPr>
          <w:rStyle w:val="CommentSubjectChar"/>
          <w:b w:val="0"/>
          <w:bCs w:val="0"/>
          <w:sz w:val="22"/>
          <w:szCs w:val="22"/>
        </w:rPr>
        <w:t xml:space="preserve"> </w:t>
      </w:r>
    </w:p>
    <w:p w14:paraId="548FBB18" w14:textId="4D18AC4C" w:rsidR="00EB4A49" w:rsidRDefault="00102079" w:rsidP="00B325B1">
      <w:pPr>
        <w:spacing w:after="0"/>
      </w:pPr>
      <w:r w:rsidRPr="00C74E34">
        <w:rPr>
          <w:rStyle w:val="Hyperlink"/>
          <w:rFonts w:ascii="Calibri" w:eastAsia="Calibri" w:hAnsi="Calibri" w:cs="Calibri"/>
          <w:noProof/>
          <w:spacing w:val="-1"/>
        </w:rPr>
        <w:drawing>
          <wp:anchor distT="0" distB="0" distL="114300" distR="114300" simplePos="0" relativeHeight="251670528" behindDoc="0" locked="0" layoutInCell="1" allowOverlap="1" wp14:anchorId="01973700" wp14:editId="7659FE53">
            <wp:simplePos x="0" y="0"/>
            <wp:positionH relativeFrom="margin">
              <wp:posOffset>-105410</wp:posOffset>
            </wp:positionH>
            <wp:positionV relativeFrom="paragraph">
              <wp:posOffset>180340</wp:posOffset>
            </wp:positionV>
            <wp:extent cx="2392680" cy="655320"/>
            <wp:effectExtent l="0" t="0" r="7620" b="0"/>
            <wp:wrapThrough wrapText="bothSides">
              <wp:wrapPolygon edited="0">
                <wp:start x="0" y="0"/>
                <wp:lineTo x="0" y="20721"/>
                <wp:lineTo x="21497" y="20721"/>
                <wp:lineTo x="21497" y="0"/>
                <wp:lineTo x="0" y="0"/>
              </wp:wrapPolygon>
            </wp:wrapThrough>
            <wp:docPr id="15" name="Picture 15" descr="Montana Chronic Disease Prevention &amp; Health Promotion Bureau and Montana DP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680" cy="655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38612E3" wp14:editId="4A4C1C0D">
            <wp:simplePos x="0" y="0"/>
            <wp:positionH relativeFrom="page">
              <wp:posOffset>3276600</wp:posOffset>
            </wp:positionH>
            <wp:positionV relativeFrom="paragraph">
              <wp:posOffset>448945</wp:posOffset>
            </wp:positionV>
            <wp:extent cx="1333500" cy="339090"/>
            <wp:effectExtent l="0" t="0" r="0" b="3810"/>
            <wp:wrapThrough wrapText="bothSides">
              <wp:wrapPolygon edited="0">
                <wp:start x="0" y="0"/>
                <wp:lineTo x="0" y="20629"/>
                <wp:lineTo x="21291" y="20629"/>
                <wp:lineTo x="21291" y="0"/>
                <wp:lineTo x="0" y="0"/>
              </wp:wrapPolygon>
            </wp:wrapThrough>
            <wp:docPr id="7" name="Picture 7" descr="Rural Institute for Inclusive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33500" cy="339090"/>
                    </a:xfrm>
                    <a:prstGeom prst="rect">
                      <a:avLst/>
                    </a:prstGeom>
                  </pic:spPr>
                </pic:pic>
              </a:graphicData>
            </a:graphic>
            <wp14:sizeRelH relativeFrom="page">
              <wp14:pctWidth>0</wp14:pctWidth>
            </wp14:sizeRelH>
            <wp14:sizeRelV relativeFrom="page">
              <wp14:pctHeight>0</wp14:pctHeight>
            </wp14:sizeRelV>
          </wp:anchor>
        </w:drawing>
      </w:r>
      <w:r w:rsidRPr="00726CCF">
        <w:rPr>
          <w:rStyle w:val="CommentSubjectChar"/>
          <w:b w:val="0"/>
          <w:bCs w:val="0"/>
          <w:noProof/>
          <w:sz w:val="22"/>
          <w:szCs w:val="22"/>
        </w:rPr>
        <w:drawing>
          <wp:anchor distT="0" distB="0" distL="114300" distR="114300" simplePos="0" relativeHeight="251664384" behindDoc="0" locked="0" layoutInCell="1" allowOverlap="1" wp14:anchorId="3E31770E" wp14:editId="2A73D6E0">
            <wp:simplePos x="0" y="0"/>
            <wp:positionH relativeFrom="column">
              <wp:posOffset>4962525</wp:posOffset>
            </wp:positionH>
            <wp:positionV relativeFrom="paragraph">
              <wp:posOffset>251460</wp:posOffset>
            </wp:positionV>
            <wp:extent cx="2085975" cy="582295"/>
            <wp:effectExtent l="0" t="0" r="9525" b="8255"/>
            <wp:wrapThrough wrapText="bothSides">
              <wp:wrapPolygon edited="0">
                <wp:start x="0" y="0"/>
                <wp:lineTo x="0" y="21200"/>
                <wp:lineTo x="21501" y="21200"/>
                <wp:lineTo x="21501" y="0"/>
                <wp:lineTo x="0" y="0"/>
              </wp:wrapPolygon>
            </wp:wrapThrough>
            <wp:docPr id="3" name="Picture 3" descr="Montana Disability &amp; Health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582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B4A49" w:rsidSect="00023396">
      <w:headerReference w:type="default" r:id="rId14"/>
      <w:pgSz w:w="12240" w:h="15840" w:code="1"/>
      <w:pgMar w:top="360" w:right="720" w:bottom="630" w:left="720" w:header="2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E14A8" w14:textId="77777777" w:rsidR="00EF37AA" w:rsidRDefault="00EF37AA" w:rsidP="00A6773E">
      <w:pPr>
        <w:spacing w:after="0"/>
      </w:pPr>
      <w:r>
        <w:separator/>
      </w:r>
    </w:p>
  </w:endnote>
  <w:endnote w:type="continuationSeparator" w:id="0">
    <w:p w14:paraId="17958F92" w14:textId="77777777" w:rsidR="00EF37AA" w:rsidRDefault="00EF37AA" w:rsidP="00A677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EA8CA" w14:textId="77777777" w:rsidR="00EF37AA" w:rsidRDefault="00EF37AA" w:rsidP="00A6773E">
      <w:pPr>
        <w:spacing w:after="0"/>
      </w:pPr>
      <w:r>
        <w:separator/>
      </w:r>
    </w:p>
  </w:footnote>
  <w:footnote w:type="continuationSeparator" w:id="0">
    <w:p w14:paraId="5B155389" w14:textId="77777777" w:rsidR="00EF37AA" w:rsidRDefault="00EF37AA" w:rsidP="00A677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313B" w14:textId="184595F0" w:rsidR="00A6773E" w:rsidRDefault="00A6773E" w:rsidP="000A5925">
    <w:pPr>
      <w:pStyle w:val="Header"/>
      <w:tabs>
        <w:tab w:val="clear" w:pos="9360"/>
        <w:tab w:val="left" w:pos="94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17"/>
    <w:rsid w:val="00023396"/>
    <w:rsid w:val="0003228D"/>
    <w:rsid w:val="00033CAD"/>
    <w:rsid w:val="0003659E"/>
    <w:rsid w:val="00041444"/>
    <w:rsid w:val="00073CF1"/>
    <w:rsid w:val="00086A48"/>
    <w:rsid w:val="000920B2"/>
    <w:rsid w:val="00097BE8"/>
    <w:rsid w:val="000A06B4"/>
    <w:rsid w:val="000A5925"/>
    <w:rsid w:val="000A7277"/>
    <w:rsid w:val="000B0428"/>
    <w:rsid w:val="000B283D"/>
    <w:rsid w:val="000E588F"/>
    <w:rsid w:val="001004A0"/>
    <w:rsid w:val="00102079"/>
    <w:rsid w:val="001057A2"/>
    <w:rsid w:val="001B0A17"/>
    <w:rsid w:val="001D1882"/>
    <w:rsid w:val="001E2470"/>
    <w:rsid w:val="001E2AE8"/>
    <w:rsid w:val="001E2C11"/>
    <w:rsid w:val="001F2582"/>
    <w:rsid w:val="00200F01"/>
    <w:rsid w:val="0020222D"/>
    <w:rsid w:val="0020306E"/>
    <w:rsid w:val="002037F5"/>
    <w:rsid w:val="00215D79"/>
    <w:rsid w:val="00222128"/>
    <w:rsid w:val="002528DC"/>
    <w:rsid w:val="00271CEA"/>
    <w:rsid w:val="0027337B"/>
    <w:rsid w:val="00277E1F"/>
    <w:rsid w:val="002C6CFC"/>
    <w:rsid w:val="002D5019"/>
    <w:rsid w:val="002D517C"/>
    <w:rsid w:val="002F1966"/>
    <w:rsid w:val="00307776"/>
    <w:rsid w:val="003354D0"/>
    <w:rsid w:val="00356332"/>
    <w:rsid w:val="003604E7"/>
    <w:rsid w:val="00372D0F"/>
    <w:rsid w:val="003A6D91"/>
    <w:rsid w:val="003C3173"/>
    <w:rsid w:val="003C3ED3"/>
    <w:rsid w:val="003E73FF"/>
    <w:rsid w:val="003F08F8"/>
    <w:rsid w:val="00410E63"/>
    <w:rsid w:val="00422E3B"/>
    <w:rsid w:val="00423A84"/>
    <w:rsid w:val="00437D68"/>
    <w:rsid w:val="00442B39"/>
    <w:rsid w:val="00447B0A"/>
    <w:rsid w:val="004721C2"/>
    <w:rsid w:val="00484071"/>
    <w:rsid w:val="0048773A"/>
    <w:rsid w:val="00497CA6"/>
    <w:rsid w:val="004D7772"/>
    <w:rsid w:val="004E6FD1"/>
    <w:rsid w:val="004F231A"/>
    <w:rsid w:val="00507EED"/>
    <w:rsid w:val="00521CB3"/>
    <w:rsid w:val="005334A7"/>
    <w:rsid w:val="00540824"/>
    <w:rsid w:val="00545008"/>
    <w:rsid w:val="005809DD"/>
    <w:rsid w:val="00590B20"/>
    <w:rsid w:val="005B03FA"/>
    <w:rsid w:val="005B32B3"/>
    <w:rsid w:val="005C695E"/>
    <w:rsid w:val="005D746D"/>
    <w:rsid w:val="005E3F5A"/>
    <w:rsid w:val="00620E67"/>
    <w:rsid w:val="00634A46"/>
    <w:rsid w:val="006644EF"/>
    <w:rsid w:val="006A38E8"/>
    <w:rsid w:val="006B5627"/>
    <w:rsid w:val="006B58D4"/>
    <w:rsid w:val="006B7CB4"/>
    <w:rsid w:val="006E7008"/>
    <w:rsid w:val="006F4D76"/>
    <w:rsid w:val="007016B8"/>
    <w:rsid w:val="00711E53"/>
    <w:rsid w:val="00735AFA"/>
    <w:rsid w:val="00765B10"/>
    <w:rsid w:val="007768F5"/>
    <w:rsid w:val="007803C2"/>
    <w:rsid w:val="00782B82"/>
    <w:rsid w:val="00784A87"/>
    <w:rsid w:val="00784D4B"/>
    <w:rsid w:val="00790992"/>
    <w:rsid w:val="00794610"/>
    <w:rsid w:val="007A62EB"/>
    <w:rsid w:val="007B1D1A"/>
    <w:rsid w:val="007C3098"/>
    <w:rsid w:val="007E7A7D"/>
    <w:rsid w:val="007F05CD"/>
    <w:rsid w:val="007F3B39"/>
    <w:rsid w:val="007F4D23"/>
    <w:rsid w:val="00801FBE"/>
    <w:rsid w:val="00807F3E"/>
    <w:rsid w:val="008111C4"/>
    <w:rsid w:val="00815292"/>
    <w:rsid w:val="00840AB8"/>
    <w:rsid w:val="008465DC"/>
    <w:rsid w:val="00892E30"/>
    <w:rsid w:val="008934EA"/>
    <w:rsid w:val="008B71D0"/>
    <w:rsid w:val="008E48FE"/>
    <w:rsid w:val="008F0696"/>
    <w:rsid w:val="008F5EA2"/>
    <w:rsid w:val="009128E3"/>
    <w:rsid w:val="009154E7"/>
    <w:rsid w:val="00936512"/>
    <w:rsid w:val="0094217F"/>
    <w:rsid w:val="009606D3"/>
    <w:rsid w:val="00965DFB"/>
    <w:rsid w:val="00971627"/>
    <w:rsid w:val="009749FA"/>
    <w:rsid w:val="0097591B"/>
    <w:rsid w:val="00984F88"/>
    <w:rsid w:val="00990166"/>
    <w:rsid w:val="0099355C"/>
    <w:rsid w:val="00996201"/>
    <w:rsid w:val="009A14A0"/>
    <w:rsid w:val="009B6759"/>
    <w:rsid w:val="009D700D"/>
    <w:rsid w:val="009F2D42"/>
    <w:rsid w:val="00A25FD6"/>
    <w:rsid w:val="00A507A1"/>
    <w:rsid w:val="00A53C2F"/>
    <w:rsid w:val="00A63450"/>
    <w:rsid w:val="00A6773E"/>
    <w:rsid w:val="00AA5FD3"/>
    <w:rsid w:val="00AC13D5"/>
    <w:rsid w:val="00AF17DB"/>
    <w:rsid w:val="00B05D5C"/>
    <w:rsid w:val="00B24902"/>
    <w:rsid w:val="00B27D57"/>
    <w:rsid w:val="00B325B1"/>
    <w:rsid w:val="00B71420"/>
    <w:rsid w:val="00B77B5C"/>
    <w:rsid w:val="00B8258C"/>
    <w:rsid w:val="00B841F1"/>
    <w:rsid w:val="00B90E20"/>
    <w:rsid w:val="00BA1BE6"/>
    <w:rsid w:val="00BD440A"/>
    <w:rsid w:val="00BE256A"/>
    <w:rsid w:val="00BE2D47"/>
    <w:rsid w:val="00BE566B"/>
    <w:rsid w:val="00BE606E"/>
    <w:rsid w:val="00BF2E5B"/>
    <w:rsid w:val="00C2382A"/>
    <w:rsid w:val="00C43381"/>
    <w:rsid w:val="00C56E1C"/>
    <w:rsid w:val="00C57B7B"/>
    <w:rsid w:val="00C876D1"/>
    <w:rsid w:val="00CB150B"/>
    <w:rsid w:val="00CC4FB2"/>
    <w:rsid w:val="00CD0FAB"/>
    <w:rsid w:val="00CF5ABF"/>
    <w:rsid w:val="00D13DF4"/>
    <w:rsid w:val="00D176B1"/>
    <w:rsid w:val="00D20066"/>
    <w:rsid w:val="00D45E14"/>
    <w:rsid w:val="00D527F1"/>
    <w:rsid w:val="00D62629"/>
    <w:rsid w:val="00D66895"/>
    <w:rsid w:val="00D763D0"/>
    <w:rsid w:val="00D77F60"/>
    <w:rsid w:val="00D836E5"/>
    <w:rsid w:val="00D95FA4"/>
    <w:rsid w:val="00DB243C"/>
    <w:rsid w:val="00DC14F9"/>
    <w:rsid w:val="00DD2C99"/>
    <w:rsid w:val="00DD4822"/>
    <w:rsid w:val="00DD76A5"/>
    <w:rsid w:val="00DE6184"/>
    <w:rsid w:val="00E11F4A"/>
    <w:rsid w:val="00E20F68"/>
    <w:rsid w:val="00E2289F"/>
    <w:rsid w:val="00E22A89"/>
    <w:rsid w:val="00E33C58"/>
    <w:rsid w:val="00E355BE"/>
    <w:rsid w:val="00E55551"/>
    <w:rsid w:val="00E76BE1"/>
    <w:rsid w:val="00E851A8"/>
    <w:rsid w:val="00E91BB3"/>
    <w:rsid w:val="00EA68A4"/>
    <w:rsid w:val="00EB4A49"/>
    <w:rsid w:val="00EC1147"/>
    <w:rsid w:val="00EE221D"/>
    <w:rsid w:val="00EF37AA"/>
    <w:rsid w:val="00EF48B6"/>
    <w:rsid w:val="00F042D7"/>
    <w:rsid w:val="00F229DB"/>
    <w:rsid w:val="00F23204"/>
    <w:rsid w:val="00F32199"/>
    <w:rsid w:val="00F94C1B"/>
    <w:rsid w:val="00F9725A"/>
    <w:rsid w:val="00FB19B2"/>
    <w:rsid w:val="00FC3704"/>
    <w:rsid w:val="00FD40D5"/>
    <w:rsid w:val="00FD532D"/>
    <w:rsid w:val="00FE67A2"/>
    <w:rsid w:val="00FF4115"/>
    <w:rsid w:val="00FF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D69F8"/>
  <w15:docId w15:val="{9B4E50C9-BD6A-44DB-B7FA-0F4BFF00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95E"/>
    <w:pPr>
      <w:spacing w:line="240" w:lineRule="auto"/>
    </w:pPr>
  </w:style>
  <w:style w:type="paragraph" w:styleId="Heading1">
    <w:name w:val="heading 1"/>
    <w:basedOn w:val="Normal"/>
    <w:next w:val="Normal"/>
    <w:link w:val="Heading1Char"/>
    <w:uiPriority w:val="9"/>
    <w:qFormat/>
    <w:rsid w:val="00B325B1"/>
    <w:pPr>
      <w:keepNext/>
      <w:keepLines/>
      <w:spacing w:before="12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25B1"/>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25B1"/>
    <w:pPr>
      <w:keepNext/>
      <w:keepLines/>
      <w:spacing w:before="40" w:after="0"/>
      <w:outlineLvl w:val="2"/>
    </w:pPr>
    <w:rPr>
      <w:rFonts w:asciiTheme="majorHAnsi" w:eastAsiaTheme="majorEastAsia" w:hAnsiTheme="majorHAnsi" w:cstheme="majorBidi"/>
      <w:b/>
      <w:color w:val="2F5496" w:themeColor="accent5"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5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25B1"/>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A6773E"/>
    <w:pPr>
      <w:autoSpaceDE w:val="0"/>
      <w:autoSpaceDN w:val="0"/>
      <w:spacing w:after="0"/>
    </w:pPr>
    <w:rPr>
      <w:rFonts w:ascii="Tahoma" w:hAnsi="Tahoma" w:cs="Tahoma"/>
      <w:color w:val="000000"/>
      <w:sz w:val="24"/>
      <w:szCs w:val="24"/>
    </w:rPr>
  </w:style>
  <w:style w:type="character" w:styleId="Emphasis">
    <w:name w:val="Emphasis"/>
    <w:basedOn w:val="DefaultParagraphFont"/>
    <w:uiPriority w:val="20"/>
    <w:qFormat/>
    <w:rsid w:val="00A6773E"/>
    <w:rPr>
      <w:i/>
      <w:iCs/>
    </w:rPr>
  </w:style>
  <w:style w:type="paragraph" w:styleId="Header">
    <w:name w:val="header"/>
    <w:basedOn w:val="Normal"/>
    <w:link w:val="HeaderChar"/>
    <w:uiPriority w:val="99"/>
    <w:unhideWhenUsed/>
    <w:rsid w:val="00A6773E"/>
    <w:pPr>
      <w:tabs>
        <w:tab w:val="center" w:pos="4680"/>
        <w:tab w:val="right" w:pos="9360"/>
      </w:tabs>
      <w:spacing w:after="0"/>
    </w:pPr>
  </w:style>
  <w:style w:type="character" w:customStyle="1" w:styleId="HeaderChar">
    <w:name w:val="Header Char"/>
    <w:basedOn w:val="DefaultParagraphFont"/>
    <w:link w:val="Header"/>
    <w:uiPriority w:val="99"/>
    <w:rsid w:val="00A6773E"/>
  </w:style>
  <w:style w:type="paragraph" w:styleId="Footer">
    <w:name w:val="footer"/>
    <w:basedOn w:val="Normal"/>
    <w:link w:val="FooterChar"/>
    <w:uiPriority w:val="99"/>
    <w:unhideWhenUsed/>
    <w:rsid w:val="00A6773E"/>
    <w:pPr>
      <w:tabs>
        <w:tab w:val="center" w:pos="4680"/>
        <w:tab w:val="right" w:pos="9360"/>
      </w:tabs>
      <w:spacing w:after="0"/>
    </w:pPr>
  </w:style>
  <w:style w:type="character" w:customStyle="1" w:styleId="FooterChar">
    <w:name w:val="Footer Char"/>
    <w:basedOn w:val="DefaultParagraphFont"/>
    <w:link w:val="Footer"/>
    <w:uiPriority w:val="99"/>
    <w:rsid w:val="00A6773E"/>
  </w:style>
  <w:style w:type="paragraph" w:styleId="Revision">
    <w:name w:val="Revision"/>
    <w:hidden/>
    <w:uiPriority w:val="99"/>
    <w:semiHidden/>
    <w:rsid w:val="007C3098"/>
    <w:pPr>
      <w:spacing w:after="0" w:line="240" w:lineRule="auto"/>
    </w:pPr>
  </w:style>
  <w:style w:type="character" w:styleId="CommentReference">
    <w:name w:val="annotation reference"/>
    <w:basedOn w:val="DefaultParagraphFont"/>
    <w:uiPriority w:val="99"/>
    <w:semiHidden/>
    <w:unhideWhenUsed/>
    <w:rsid w:val="007C3098"/>
    <w:rPr>
      <w:sz w:val="16"/>
      <w:szCs w:val="16"/>
    </w:rPr>
  </w:style>
  <w:style w:type="paragraph" w:styleId="CommentText">
    <w:name w:val="annotation text"/>
    <w:basedOn w:val="Normal"/>
    <w:link w:val="CommentTextChar"/>
    <w:uiPriority w:val="99"/>
    <w:semiHidden/>
    <w:unhideWhenUsed/>
    <w:rsid w:val="007C3098"/>
    <w:rPr>
      <w:sz w:val="20"/>
      <w:szCs w:val="20"/>
    </w:rPr>
  </w:style>
  <w:style w:type="character" w:customStyle="1" w:styleId="CommentTextChar">
    <w:name w:val="Comment Text Char"/>
    <w:basedOn w:val="DefaultParagraphFont"/>
    <w:link w:val="CommentText"/>
    <w:uiPriority w:val="99"/>
    <w:semiHidden/>
    <w:rsid w:val="007C3098"/>
    <w:rPr>
      <w:sz w:val="20"/>
      <w:szCs w:val="20"/>
    </w:rPr>
  </w:style>
  <w:style w:type="paragraph" w:styleId="CommentSubject">
    <w:name w:val="annotation subject"/>
    <w:basedOn w:val="CommentText"/>
    <w:next w:val="CommentText"/>
    <w:link w:val="CommentSubjectChar"/>
    <w:uiPriority w:val="99"/>
    <w:semiHidden/>
    <w:unhideWhenUsed/>
    <w:rsid w:val="007C3098"/>
    <w:rPr>
      <w:b/>
      <w:bCs/>
    </w:rPr>
  </w:style>
  <w:style w:type="character" w:customStyle="1" w:styleId="CommentSubjectChar">
    <w:name w:val="Comment Subject Char"/>
    <w:basedOn w:val="CommentTextChar"/>
    <w:link w:val="CommentSubject"/>
    <w:uiPriority w:val="99"/>
    <w:semiHidden/>
    <w:rsid w:val="007C3098"/>
    <w:rPr>
      <w:b/>
      <w:bCs/>
      <w:sz w:val="20"/>
      <w:szCs w:val="20"/>
    </w:rPr>
  </w:style>
  <w:style w:type="paragraph" w:styleId="BalloonText">
    <w:name w:val="Balloon Text"/>
    <w:basedOn w:val="Normal"/>
    <w:link w:val="BalloonTextChar"/>
    <w:uiPriority w:val="99"/>
    <w:semiHidden/>
    <w:unhideWhenUsed/>
    <w:rsid w:val="007C30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098"/>
    <w:rPr>
      <w:rFonts w:ascii="Segoe UI" w:hAnsi="Segoe UI" w:cs="Segoe UI"/>
      <w:sz w:val="18"/>
      <w:szCs w:val="18"/>
    </w:rPr>
  </w:style>
  <w:style w:type="character" w:styleId="Hyperlink">
    <w:name w:val="Hyperlink"/>
    <w:basedOn w:val="DefaultParagraphFont"/>
    <w:uiPriority w:val="99"/>
    <w:unhideWhenUsed/>
    <w:rsid w:val="004E6FD1"/>
    <w:rPr>
      <w:color w:val="0563C1" w:themeColor="hyperlink"/>
      <w:u w:val="single"/>
    </w:rPr>
  </w:style>
  <w:style w:type="character" w:customStyle="1" w:styleId="Heading3Char">
    <w:name w:val="Heading 3 Char"/>
    <w:basedOn w:val="DefaultParagraphFont"/>
    <w:link w:val="Heading3"/>
    <w:uiPriority w:val="9"/>
    <w:rsid w:val="00B325B1"/>
    <w:rPr>
      <w:rFonts w:asciiTheme="majorHAnsi" w:eastAsiaTheme="majorEastAsia" w:hAnsiTheme="majorHAnsi" w:cstheme="majorBidi"/>
      <w:b/>
      <w:color w:val="2F5496" w:themeColor="accent5" w:themeShade="BF"/>
      <w:sz w:val="28"/>
      <w:szCs w:val="24"/>
    </w:rPr>
  </w:style>
  <w:style w:type="paragraph" w:styleId="Caption">
    <w:name w:val="caption"/>
    <w:basedOn w:val="Normal"/>
    <w:next w:val="Normal"/>
    <w:uiPriority w:val="35"/>
    <w:semiHidden/>
    <w:unhideWhenUsed/>
    <w:qFormat/>
    <w:rsid w:val="00D763D0"/>
    <w:pPr>
      <w:spacing w:after="200"/>
    </w:pPr>
    <w:rPr>
      <w:i/>
      <w:iCs/>
      <w:color w:val="44546A" w:themeColor="text2"/>
      <w:sz w:val="18"/>
      <w:szCs w:val="18"/>
    </w:rPr>
  </w:style>
  <w:style w:type="paragraph" w:styleId="EndnoteText">
    <w:name w:val="endnote text"/>
    <w:basedOn w:val="Normal"/>
    <w:link w:val="EndnoteTextChar"/>
    <w:uiPriority w:val="99"/>
    <w:unhideWhenUsed/>
    <w:rsid w:val="006B7CB4"/>
    <w:pPr>
      <w:spacing w:after="0"/>
    </w:pPr>
    <w:rPr>
      <w:sz w:val="20"/>
      <w:szCs w:val="20"/>
    </w:rPr>
  </w:style>
  <w:style w:type="character" w:customStyle="1" w:styleId="EndnoteTextChar">
    <w:name w:val="Endnote Text Char"/>
    <w:basedOn w:val="DefaultParagraphFont"/>
    <w:link w:val="EndnoteText"/>
    <w:uiPriority w:val="99"/>
    <w:rsid w:val="006B7CB4"/>
    <w:rPr>
      <w:sz w:val="20"/>
      <w:szCs w:val="20"/>
    </w:rPr>
  </w:style>
  <w:style w:type="character" w:styleId="EndnoteReference">
    <w:name w:val="endnote reference"/>
    <w:basedOn w:val="DefaultParagraphFont"/>
    <w:uiPriority w:val="99"/>
    <w:semiHidden/>
    <w:unhideWhenUsed/>
    <w:rsid w:val="006B7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4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dh.ruralinstitute.umt.edu/" TargetMode="External"/><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mtdh.ruralinstitute.umt.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7517-9A54-47CC-8D0A-0E38F8F4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Success Stories from the Montana Disability and Health Program</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Stories from the Montana Disability and Health Program</dc:title>
  <dc:creator>Traci, Meg</dc:creator>
  <cp:lastModifiedBy>Traci, Meg</cp:lastModifiedBy>
  <cp:revision>3</cp:revision>
  <cp:lastPrinted>2016-04-14T03:10:00Z</cp:lastPrinted>
  <dcterms:created xsi:type="dcterms:W3CDTF">2016-04-18T17:30:00Z</dcterms:created>
  <dcterms:modified xsi:type="dcterms:W3CDTF">2016-04-18T17:31:00Z</dcterms:modified>
</cp:coreProperties>
</file>